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25" w:lineRule="atLeast"/>
        <w:ind w:firstLine="630"/>
        <w:jc w:val="center"/>
        <w:rPr>
          <w:rFonts w:cs="宋体" w:asciiTheme="minorEastAsia" w:hAnsiTheme="minorEastAsia"/>
          <w:color w:val="333333"/>
          <w:kern w:val="0"/>
          <w:sz w:val="36"/>
          <w:szCs w:val="36"/>
        </w:rPr>
      </w:pPr>
      <w:r>
        <w:rPr>
          <w:rFonts w:hint="eastAsia" w:cs="宋体" w:asciiTheme="minorEastAsia" w:hAnsiTheme="minorEastAsia"/>
          <w:color w:val="333333"/>
          <w:kern w:val="0"/>
          <w:sz w:val="36"/>
          <w:szCs w:val="36"/>
        </w:rPr>
        <w:t>（NET）学生测评操作指南</w:t>
      </w:r>
    </w:p>
    <w:p>
      <w:pPr>
        <w:widowControl/>
        <w:spacing w:before="100" w:beforeAutospacing="1" w:after="100" w:afterAutospacing="1" w:line="525" w:lineRule="atLeast"/>
        <w:ind w:firstLine="630"/>
        <w:jc w:val="left"/>
        <w:rPr>
          <w:rFonts w:cs="宋体" w:asciiTheme="minorEastAsia" w:hAnsiTheme="minorEastAsia"/>
          <w:color w:val="333333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一、登陆方式</w:t>
      </w:r>
      <w:bookmarkStart w:id="0" w:name="_GoBack"/>
      <w:bookmarkEnd w:id="0"/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方式一：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我校学生可登陆就业信息网</w:t>
      </w:r>
      <w:r>
        <w:fldChar w:fldCharType="begin"/>
      </w:r>
      <w:r>
        <w:instrText xml:space="preserve"> HYPERLINK "http://jy.csuft.edu.cn/" \t "_self"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http://jy.csuft.edu.cn/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点击就业指导栏目框，选择"NET就业能力测评"进入测试界面； 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或者直接登录：</w:t>
      </w:r>
      <w:r>
        <w:fldChar w:fldCharType="begin"/>
      </w:r>
      <w:r>
        <w:instrText xml:space="preserve"> HYPERLINK "http://exam.net.zhaopin.com/" \t "_self" </w:instrText>
      </w:r>
      <w:r>
        <w:fldChar w:fldCharType="separate"/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http://exam.net.zhaopin.com/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测试网页界面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方式二：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手机参与测评同学请扫描二维码（如下图）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Cs w:val="21"/>
        </w:rPr>
        <w:drawing>
          <wp:inline distT="0" distB="0" distL="0" distR="0">
            <wp:extent cx="2019300" cy="2038350"/>
            <wp:effectExtent l="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l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</w:t>
      </w: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二、填写所在学院考场号</w:t>
      </w:r>
    </w:p>
    <w:tbl>
      <w:tblPr>
        <w:tblStyle w:val="3"/>
        <w:tblW w:w="76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555"/>
        <w:gridCol w:w="33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考场号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研究生学院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DGJW66NN32</w:t>
            </w:r>
          </w:p>
        </w:tc>
      </w:tr>
    </w:tbl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三、参加测试的考生需点击蓝色字体“立刻报名”，填写正确的姓名及手机号码，登陆后会收到手机短信告知个人准考证号，在报名界面填写相应信息，报名成功后按导引填写完整信息后进入测试页面（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</w:rPr>
        <w:t>为保证信息安全性，建议只写“*”的必填项）。  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7"/>
          <w:szCs w:val="27"/>
        </w:rPr>
        <w:drawing>
          <wp:inline distT="0" distB="0" distL="0" distR="0">
            <wp:extent cx="5191125" cy="3181350"/>
            <wp:effectExtent l="0" t="0" r="9525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l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</w:rPr>
        <w:t> 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四、三套试题测试完成后关注“NET职通车”公众号，后期可在公众号上查询及打印个人报告。</w:t>
      </w:r>
    </w:p>
    <w:p>
      <w:pPr>
        <w:widowControl/>
        <w:spacing w:before="100" w:beforeAutospacing="1" w:after="100" w:afterAutospacing="1" w:line="420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drawing>
          <wp:inline distT="0" distB="0" distL="0" distR="0">
            <wp:extent cx="5581650" cy="3248025"/>
            <wp:effectExtent l="0" t="0" r="0" b="9525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l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五、 测试完成后页面会提示是否需要纸质证书，并且有证书模板，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7"/>
        </w:rPr>
        <w:t>如需此证书，需付费29.8元，由智联招聘北京总部统一印制，用顺丰发给考生。（考生自愿）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</w:rPr>
        <w:t>六、注意事项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1.测评完成24小时后，学生可通过“NET职通车”查询测评报告。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2.若作答过程中异常退出，可用原考务信息再次登录作答。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3.如因个人原因导致考试未完成，无法提供补考。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4.在考试过程中不允许打开除答题页面外的任何其它页面，不论什么原因，系统都会记录，使测评成绩受到影响。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343A4"/>
    <w:rsid w:val="24F34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2017-05-15T07:00:00Z</dcterms:created>
  <dc:creator>Administrator</dc:creator>
  <cp:lastModifiedBy>Administrator</cp:lastModifiedBy>
  <dcterms:modified xsi:type="dcterms:W3CDTF">2017-05-15T07:05:32Z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