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90"/>
        </w:tabs>
        <w:jc w:val="center"/>
        <w:rPr>
          <w:rFonts w:hint="eastAsia" w:ascii="宋体" w:hAnsi="宋体"/>
          <w:b/>
          <w:bCs/>
          <w:sz w:val="32"/>
          <w:szCs w:val="32"/>
        </w:rPr>
      </w:pPr>
      <w:r>
        <w:rPr>
          <w:rFonts w:hint="eastAsia" w:ascii="宋体" w:hAnsi="宋体"/>
          <w:b/>
          <w:bCs/>
          <w:sz w:val="32"/>
          <w:szCs w:val="32"/>
        </w:rPr>
        <w:t>广州市香雪制药股份有限公司</w:t>
      </w:r>
    </w:p>
    <w:p>
      <w:pPr>
        <w:tabs>
          <w:tab w:val="left" w:pos="3390"/>
        </w:tabs>
        <w:jc w:val="center"/>
        <w:rPr>
          <w:b/>
          <w:bCs/>
          <w:sz w:val="32"/>
          <w:szCs w:val="32"/>
        </w:rPr>
      </w:pPr>
      <w:r>
        <w:rPr>
          <w:rFonts w:hint="eastAsia"/>
          <w:b/>
          <w:bCs/>
          <w:sz w:val="32"/>
          <w:szCs w:val="32"/>
        </w:rPr>
        <w:t>招聘</w:t>
      </w:r>
      <w:r>
        <w:rPr>
          <w:b/>
          <w:bCs/>
          <w:sz w:val="32"/>
          <w:szCs w:val="32"/>
        </w:rPr>
        <w:t>简章</w:t>
      </w:r>
    </w:p>
    <w:p>
      <w:pPr>
        <w:pStyle w:val="12"/>
        <w:numPr>
          <w:ilvl w:val="0"/>
          <w:numId w:val="1"/>
        </w:numPr>
        <w:tabs>
          <w:tab w:val="left" w:pos="3390"/>
        </w:tabs>
        <w:spacing w:line="360" w:lineRule="auto"/>
        <w:ind w:firstLineChars="0"/>
        <w:rPr>
          <w:b/>
          <w:sz w:val="24"/>
          <w:szCs w:val="24"/>
        </w:rPr>
      </w:pPr>
      <w:r>
        <w:rPr>
          <w:rFonts w:hint="eastAsia"/>
          <w:b/>
          <w:sz w:val="24"/>
          <w:szCs w:val="24"/>
        </w:rPr>
        <w:t>公司</w:t>
      </w:r>
      <w:r>
        <w:rPr>
          <w:b/>
          <w:sz w:val="24"/>
          <w:szCs w:val="24"/>
        </w:rPr>
        <w:t>简介</w:t>
      </w:r>
    </w:p>
    <w:p>
      <w:pPr>
        <w:pStyle w:val="12"/>
        <w:spacing w:line="276" w:lineRule="auto"/>
        <w:ind w:left="420" w:firstLine="0" w:firstLineChars="0"/>
        <w:rPr>
          <w:rFonts w:ascii="宋体" w:hAnsi="宋体"/>
          <w:szCs w:val="21"/>
        </w:rPr>
      </w:pPr>
      <w:r>
        <w:rPr>
          <w:rFonts w:hint="eastAsia" w:ascii="宋体" w:hAnsi="宋体"/>
          <w:szCs w:val="21"/>
        </w:rPr>
        <w:t>广州市香雪制药股份有限公司（股票代码：300147）是一家拥有自主知识产权、自主品牌、自主创新能</w:t>
      </w:r>
    </w:p>
    <w:p>
      <w:pPr>
        <w:spacing w:line="276" w:lineRule="auto"/>
        <w:rPr>
          <w:rFonts w:ascii="宋体" w:hAnsi="宋体"/>
          <w:szCs w:val="21"/>
        </w:rPr>
      </w:pPr>
      <w:r>
        <w:rPr>
          <w:rFonts w:hint="eastAsia" w:ascii="宋体" w:hAnsi="宋体"/>
          <w:szCs w:val="21"/>
        </w:rPr>
        <w:t>力的中药现代化的领军企业和国家级高新技术企业，</w:t>
      </w:r>
      <w:r>
        <w:rPr>
          <w:rFonts w:ascii="宋体" w:hAnsi="宋体"/>
          <w:szCs w:val="21"/>
        </w:rPr>
        <w:t>形成具有重要资源、</w:t>
      </w:r>
      <w:r>
        <w:rPr>
          <w:rFonts w:hint="eastAsia" w:ascii="宋体" w:hAnsi="宋体"/>
          <w:szCs w:val="21"/>
        </w:rPr>
        <w:t>中药</w:t>
      </w:r>
      <w:r>
        <w:rPr>
          <w:rFonts w:ascii="宋体" w:hAnsi="宋体"/>
          <w:szCs w:val="21"/>
        </w:rPr>
        <w:t>先进制造，现代物流配送，新药创制的完整产业链。</w:t>
      </w:r>
      <w:r>
        <w:rPr>
          <w:rFonts w:hint="eastAsia" w:ascii="宋体" w:hAnsi="宋体"/>
          <w:szCs w:val="21"/>
        </w:rPr>
        <w:t>先后在广东、北京、山西、四川、重庆、安徽、云南和宁夏等地设立60多家分、子公司并投资兴建大规模的GMP生产基地和GAP药材种植基地，形成了新型中药饮片.中成药.功能健康食品（饮料），养生保健等产品群所组成的大中药健康产业，在中国创造就业职位一万余个。</w:t>
      </w:r>
    </w:p>
    <w:p>
      <w:pPr>
        <w:spacing w:line="276" w:lineRule="auto"/>
        <w:ind w:firstLine="420" w:firstLineChars="200"/>
        <w:rPr>
          <w:rFonts w:ascii="宋体" w:hAnsi="宋体"/>
          <w:szCs w:val="21"/>
        </w:rPr>
      </w:pPr>
      <w:r>
        <w:rPr>
          <w:rFonts w:hint="eastAsia" w:ascii="宋体" w:hAnsi="宋体"/>
          <w:szCs w:val="21"/>
        </w:rPr>
        <w:t>香雪生命科学研究中心（XiangXue Life Sciences, XLifeSc）是应公司发展，产业转型和赶超世界一流制药企业的顶层设计的要求，与国家千人计划特聘专家、中国科学院广州生物医药与健康研究院研究员、国家呼吸病重点实验室教授李懿博士共同创立的现代生物医药研发基地。</w:t>
      </w:r>
    </w:p>
    <w:p>
      <w:pPr>
        <w:pStyle w:val="12"/>
        <w:spacing w:line="276" w:lineRule="auto"/>
        <w:ind w:left="420" w:firstLine="0" w:firstLineChars="0"/>
        <w:rPr>
          <w:rFonts w:ascii="宋体" w:hAnsi="宋体"/>
          <w:szCs w:val="21"/>
        </w:rPr>
      </w:pPr>
      <w:r>
        <w:rPr>
          <w:rFonts w:hint="eastAsia" w:ascii="宋体" w:hAnsi="宋体"/>
          <w:szCs w:val="21"/>
        </w:rPr>
        <w:t>本中心致力于研发具有我国自主知识产权的国家一类生物药，用于治疗癌症、自身免疫性疾病及病毒感</w:t>
      </w:r>
    </w:p>
    <w:p>
      <w:pPr>
        <w:spacing w:line="276" w:lineRule="auto"/>
        <w:rPr>
          <w:rFonts w:ascii="宋体" w:hAnsi="宋体"/>
          <w:szCs w:val="21"/>
        </w:rPr>
      </w:pPr>
      <w:r>
        <w:rPr>
          <w:rFonts w:hint="eastAsia" w:ascii="宋体" w:hAnsi="宋体"/>
          <w:szCs w:val="21"/>
        </w:rPr>
        <w:t>染性疾病，同时开发针对肿瘤的特异性T细胞过继免疫治疗的新方法。短期内以达到集基因诊断和免疫治疗的临床精准治疗综合体为目标；未来，将更进一步从事全方位的科技研发与产业拓展，以期奠定生物治疗的国际领导地位。</w:t>
      </w:r>
    </w:p>
    <w:p>
      <w:pPr>
        <w:pStyle w:val="12"/>
        <w:numPr>
          <w:ilvl w:val="0"/>
          <w:numId w:val="1"/>
        </w:numPr>
        <w:tabs>
          <w:tab w:val="left" w:pos="3390"/>
        </w:tabs>
        <w:spacing w:line="360" w:lineRule="auto"/>
        <w:ind w:firstLineChars="0"/>
        <w:rPr>
          <w:b/>
          <w:sz w:val="24"/>
          <w:szCs w:val="24"/>
        </w:rPr>
      </w:pPr>
      <w:r>
        <w:rPr>
          <w:rFonts w:hint="eastAsia"/>
          <w:b/>
          <w:sz w:val="24"/>
          <w:szCs w:val="24"/>
        </w:rPr>
        <w:t>招聘</w:t>
      </w:r>
      <w:r>
        <w:rPr>
          <w:b/>
          <w:sz w:val="24"/>
          <w:szCs w:val="24"/>
        </w:rPr>
        <w:t>岗位</w:t>
      </w:r>
    </w:p>
    <w:tbl>
      <w:tblPr>
        <w:tblStyle w:val="13"/>
        <w:tblW w:w="9918" w:type="dxa"/>
        <w:tblInd w:w="0" w:type="dxa"/>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Layout w:type="fixed"/>
        <w:tblCellMar>
          <w:top w:w="0" w:type="dxa"/>
          <w:left w:w="108" w:type="dxa"/>
          <w:bottom w:w="0" w:type="dxa"/>
          <w:right w:w="108" w:type="dxa"/>
        </w:tblCellMar>
      </w:tblPr>
      <w:tblGrid>
        <w:gridCol w:w="2122"/>
        <w:gridCol w:w="1417"/>
        <w:gridCol w:w="6379"/>
      </w:tblGrid>
      <w:tr>
        <w:tblPrEx>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Layout w:type="fixed"/>
          <w:tblCellMar>
            <w:top w:w="0" w:type="dxa"/>
            <w:left w:w="108" w:type="dxa"/>
            <w:bottom w:w="0" w:type="dxa"/>
            <w:right w:w="108" w:type="dxa"/>
          </w:tblCellMar>
        </w:tblPrEx>
        <w:tc>
          <w:tcPr>
            <w:tcW w:w="2122" w:type="dxa"/>
            <w:tcBorders>
              <w:bottom w:val="single" w:color="C8C8C8" w:themeColor="accent3" w:themeTint="99" w:sz="12" w:space="0"/>
              <w:insideH w:val="single" w:sz="12" w:space="0"/>
            </w:tcBorders>
            <w:vAlign w:val="center"/>
          </w:tcPr>
          <w:p>
            <w:pPr>
              <w:tabs>
                <w:tab w:val="left" w:pos="3390"/>
              </w:tabs>
              <w:spacing w:line="360" w:lineRule="auto"/>
              <w:jc w:val="center"/>
              <w:rPr>
                <w:b/>
                <w:bCs/>
                <w:color w:val="auto"/>
                <w:sz w:val="20"/>
                <w:szCs w:val="20"/>
              </w:rPr>
            </w:pPr>
            <w:r>
              <w:rPr>
                <w:rFonts w:hint="eastAsia"/>
                <w:b/>
                <w:bCs/>
                <w:color w:val="auto"/>
                <w:sz w:val="20"/>
                <w:szCs w:val="20"/>
              </w:rPr>
              <w:t>岗位</w:t>
            </w:r>
            <w:r>
              <w:rPr>
                <w:b/>
                <w:bCs/>
                <w:color w:val="auto"/>
                <w:sz w:val="20"/>
                <w:szCs w:val="20"/>
              </w:rPr>
              <w:t>名称</w:t>
            </w:r>
          </w:p>
        </w:tc>
        <w:tc>
          <w:tcPr>
            <w:tcW w:w="1417" w:type="dxa"/>
            <w:tcBorders>
              <w:bottom w:val="single" w:color="C8C8C8" w:themeColor="accent3" w:themeTint="99" w:sz="12" w:space="0"/>
              <w:insideH w:val="single" w:sz="12" w:space="0"/>
            </w:tcBorders>
            <w:vAlign w:val="center"/>
          </w:tcPr>
          <w:p>
            <w:pPr>
              <w:tabs>
                <w:tab w:val="left" w:pos="3390"/>
              </w:tabs>
              <w:spacing w:line="360" w:lineRule="auto"/>
              <w:jc w:val="center"/>
              <w:rPr>
                <w:b/>
                <w:bCs/>
                <w:color w:val="auto"/>
                <w:sz w:val="20"/>
                <w:szCs w:val="20"/>
              </w:rPr>
            </w:pPr>
            <w:r>
              <w:rPr>
                <w:rFonts w:hint="eastAsia"/>
                <w:b/>
                <w:bCs/>
                <w:color w:val="auto"/>
                <w:sz w:val="20"/>
                <w:szCs w:val="20"/>
              </w:rPr>
              <w:t>招聘</w:t>
            </w:r>
            <w:r>
              <w:rPr>
                <w:b/>
                <w:bCs/>
                <w:color w:val="auto"/>
                <w:sz w:val="20"/>
                <w:szCs w:val="20"/>
              </w:rPr>
              <w:t>人数</w:t>
            </w:r>
          </w:p>
        </w:tc>
        <w:tc>
          <w:tcPr>
            <w:tcW w:w="6379" w:type="dxa"/>
            <w:tcBorders>
              <w:bottom w:val="single" w:color="C8C8C8" w:themeColor="accent3" w:themeTint="99" w:sz="12" w:space="0"/>
              <w:insideH w:val="single" w:sz="12" w:space="0"/>
            </w:tcBorders>
            <w:vAlign w:val="center"/>
          </w:tcPr>
          <w:p>
            <w:pPr>
              <w:tabs>
                <w:tab w:val="left" w:pos="3390"/>
              </w:tabs>
              <w:spacing w:line="360" w:lineRule="auto"/>
              <w:jc w:val="center"/>
              <w:rPr>
                <w:b/>
                <w:bCs/>
                <w:color w:val="auto"/>
                <w:sz w:val="20"/>
                <w:szCs w:val="20"/>
              </w:rPr>
            </w:pPr>
            <w:r>
              <w:rPr>
                <w:rFonts w:hint="eastAsia"/>
                <w:b/>
                <w:bCs/>
                <w:color w:val="auto"/>
                <w:sz w:val="20"/>
                <w:szCs w:val="20"/>
              </w:rPr>
              <w:t>任职</w:t>
            </w:r>
            <w:r>
              <w:rPr>
                <w:b/>
                <w:bCs/>
                <w:color w:val="auto"/>
                <w:sz w:val="20"/>
                <w:szCs w:val="20"/>
              </w:rPr>
              <w:t>要求</w:t>
            </w:r>
          </w:p>
        </w:tc>
      </w:tr>
      <w:tr>
        <w:tblPrEx>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Layout w:type="fixed"/>
          <w:tblCellMar>
            <w:top w:w="0" w:type="dxa"/>
            <w:left w:w="108" w:type="dxa"/>
            <w:bottom w:w="0" w:type="dxa"/>
            <w:right w:w="108" w:type="dxa"/>
          </w:tblCellMar>
        </w:tblPrEx>
        <w:tc>
          <w:tcPr>
            <w:tcW w:w="2122" w:type="dxa"/>
            <w:shd w:val="clear" w:color="auto" w:fill="ECECEC" w:themeFill="accent3" w:themeFillTint="33"/>
            <w:vAlign w:val="center"/>
          </w:tcPr>
          <w:p>
            <w:pPr>
              <w:tabs>
                <w:tab w:val="left" w:pos="3390"/>
              </w:tabs>
              <w:spacing w:line="360" w:lineRule="auto"/>
              <w:jc w:val="center"/>
              <w:rPr>
                <w:b w:val="0"/>
                <w:bCs/>
                <w:color w:val="auto"/>
                <w:sz w:val="20"/>
                <w:szCs w:val="20"/>
              </w:rPr>
            </w:pPr>
            <w:r>
              <w:rPr>
                <w:rFonts w:hint="eastAsia"/>
                <w:b w:val="0"/>
                <w:bCs/>
                <w:color w:val="auto"/>
                <w:sz w:val="20"/>
                <w:szCs w:val="20"/>
              </w:rPr>
              <w:t>项目研究员</w:t>
            </w:r>
          </w:p>
          <w:p>
            <w:pPr>
              <w:tabs>
                <w:tab w:val="left" w:pos="3390"/>
              </w:tabs>
              <w:spacing w:line="360" w:lineRule="auto"/>
              <w:jc w:val="center"/>
              <w:rPr>
                <w:b w:val="0"/>
                <w:bCs/>
                <w:color w:val="auto"/>
                <w:sz w:val="20"/>
                <w:szCs w:val="20"/>
              </w:rPr>
            </w:pPr>
            <w:r>
              <w:rPr>
                <w:rFonts w:hint="eastAsia"/>
                <w:b w:val="0"/>
                <w:bCs/>
                <w:color w:val="auto"/>
                <w:sz w:val="20"/>
                <w:szCs w:val="20"/>
              </w:rPr>
              <w:t>（动物</w:t>
            </w:r>
            <w:r>
              <w:rPr>
                <w:b w:val="0"/>
                <w:bCs/>
                <w:color w:val="auto"/>
                <w:sz w:val="20"/>
                <w:szCs w:val="20"/>
              </w:rPr>
              <w:t>实验方向</w:t>
            </w:r>
            <w:r>
              <w:rPr>
                <w:rFonts w:hint="eastAsia"/>
                <w:b w:val="0"/>
                <w:bCs/>
                <w:color w:val="auto"/>
                <w:sz w:val="20"/>
                <w:szCs w:val="20"/>
              </w:rPr>
              <w:t>）</w:t>
            </w:r>
          </w:p>
        </w:tc>
        <w:tc>
          <w:tcPr>
            <w:tcW w:w="1417" w:type="dxa"/>
            <w:shd w:val="clear" w:color="auto" w:fill="ECECEC" w:themeFill="accent3" w:themeFillTint="33"/>
            <w:vAlign w:val="center"/>
          </w:tcPr>
          <w:p>
            <w:pPr>
              <w:tabs>
                <w:tab w:val="left" w:pos="3390"/>
              </w:tabs>
              <w:spacing w:line="360" w:lineRule="auto"/>
              <w:jc w:val="center"/>
              <w:rPr>
                <w:color w:val="auto"/>
                <w:sz w:val="20"/>
                <w:szCs w:val="20"/>
              </w:rPr>
            </w:pPr>
            <w:r>
              <w:rPr>
                <w:color w:val="auto"/>
                <w:sz w:val="20"/>
                <w:szCs w:val="20"/>
              </w:rPr>
              <w:t>2</w:t>
            </w:r>
          </w:p>
        </w:tc>
        <w:tc>
          <w:tcPr>
            <w:tcW w:w="6379" w:type="dxa"/>
            <w:shd w:val="clear" w:color="auto" w:fill="ECECEC" w:themeFill="accent3" w:themeFillTint="33"/>
          </w:tcPr>
          <w:p>
            <w:pPr>
              <w:pStyle w:val="12"/>
              <w:numPr>
                <w:ilvl w:val="0"/>
                <w:numId w:val="2"/>
              </w:numPr>
              <w:ind w:firstLineChars="0"/>
              <w:jc w:val="left"/>
              <w:rPr>
                <w:color w:val="auto"/>
                <w:sz w:val="20"/>
                <w:szCs w:val="20"/>
              </w:rPr>
            </w:pPr>
            <w:r>
              <w:rPr>
                <w:rFonts w:hint="eastAsia"/>
                <w:b/>
                <w:color w:val="auto"/>
                <w:sz w:val="20"/>
                <w:szCs w:val="20"/>
              </w:rPr>
              <w:t>硕士上学历，免疫学、细胞生物学、病理学相关教育背景；</w:t>
            </w:r>
          </w:p>
          <w:p>
            <w:pPr>
              <w:pStyle w:val="12"/>
              <w:numPr>
                <w:ilvl w:val="0"/>
                <w:numId w:val="2"/>
              </w:numPr>
              <w:ind w:firstLineChars="0"/>
              <w:jc w:val="left"/>
              <w:rPr>
                <w:color w:val="auto"/>
                <w:sz w:val="20"/>
                <w:szCs w:val="20"/>
              </w:rPr>
            </w:pPr>
            <w:r>
              <w:rPr>
                <w:rFonts w:hint="eastAsia"/>
                <w:color w:val="auto"/>
                <w:sz w:val="20"/>
                <w:szCs w:val="20"/>
              </w:rPr>
              <w:t>熟练掌握小鼠给药（静脉、腹腔、皮下）及组织样品采集；</w:t>
            </w:r>
          </w:p>
          <w:p>
            <w:pPr>
              <w:pStyle w:val="12"/>
              <w:numPr>
                <w:ilvl w:val="0"/>
                <w:numId w:val="2"/>
              </w:numPr>
              <w:ind w:firstLineChars="0"/>
              <w:jc w:val="left"/>
              <w:rPr>
                <w:color w:val="auto"/>
                <w:sz w:val="20"/>
                <w:szCs w:val="20"/>
              </w:rPr>
            </w:pPr>
            <w:r>
              <w:rPr>
                <w:rFonts w:hint="eastAsia"/>
                <w:color w:val="auto"/>
                <w:sz w:val="20"/>
                <w:szCs w:val="20"/>
              </w:rPr>
              <w:t>熟悉肿瘤细胞培养，具有常规的细胞传代及冻存经验；</w:t>
            </w:r>
          </w:p>
          <w:p>
            <w:pPr>
              <w:pStyle w:val="12"/>
              <w:numPr>
                <w:ilvl w:val="0"/>
                <w:numId w:val="2"/>
              </w:numPr>
              <w:ind w:firstLineChars="0"/>
              <w:jc w:val="left"/>
              <w:rPr>
                <w:color w:val="auto"/>
                <w:sz w:val="20"/>
                <w:szCs w:val="20"/>
              </w:rPr>
            </w:pPr>
            <w:r>
              <w:rPr>
                <w:rFonts w:hint="eastAsia"/>
                <w:color w:val="auto"/>
                <w:sz w:val="20"/>
                <w:szCs w:val="20"/>
              </w:rPr>
              <w:t>较强的记录、结果保存与分析的能力，良好的实验操作习惯；</w:t>
            </w:r>
          </w:p>
          <w:p>
            <w:pPr>
              <w:pStyle w:val="12"/>
              <w:numPr>
                <w:ilvl w:val="0"/>
                <w:numId w:val="2"/>
              </w:numPr>
              <w:ind w:firstLineChars="0"/>
              <w:jc w:val="left"/>
              <w:rPr>
                <w:color w:val="auto"/>
                <w:sz w:val="20"/>
                <w:szCs w:val="20"/>
              </w:rPr>
            </w:pPr>
            <w:r>
              <w:rPr>
                <w:rFonts w:hint="eastAsia"/>
                <w:color w:val="auto"/>
                <w:sz w:val="20"/>
                <w:szCs w:val="20"/>
              </w:rPr>
              <w:t>较强的沟通表达及解决问题的能力；</w:t>
            </w:r>
          </w:p>
          <w:p>
            <w:pPr>
              <w:pStyle w:val="12"/>
              <w:numPr>
                <w:ilvl w:val="0"/>
                <w:numId w:val="2"/>
              </w:numPr>
              <w:ind w:firstLineChars="0"/>
              <w:jc w:val="left"/>
              <w:rPr>
                <w:color w:val="auto"/>
                <w:sz w:val="20"/>
                <w:szCs w:val="20"/>
              </w:rPr>
            </w:pPr>
            <w:r>
              <w:rPr>
                <w:rFonts w:hint="eastAsia"/>
                <w:color w:val="auto"/>
                <w:sz w:val="20"/>
                <w:szCs w:val="20"/>
              </w:rPr>
              <w:t>富有团队合作精神。</w:t>
            </w:r>
          </w:p>
        </w:tc>
      </w:tr>
      <w:tr>
        <w:tblPrEx>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Layout w:type="fixed"/>
          <w:tblCellMar>
            <w:top w:w="0" w:type="dxa"/>
            <w:left w:w="108" w:type="dxa"/>
            <w:bottom w:w="0" w:type="dxa"/>
            <w:right w:w="108" w:type="dxa"/>
          </w:tblCellMar>
        </w:tblPrEx>
        <w:trPr>
          <w:trHeight w:val="1597" w:hRule="atLeast"/>
        </w:trPr>
        <w:tc>
          <w:tcPr>
            <w:tcW w:w="2122" w:type="dxa"/>
            <w:vAlign w:val="center"/>
          </w:tcPr>
          <w:p>
            <w:pPr>
              <w:tabs>
                <w:tab w:val="left" w:pos="3390"/>
              </w:tabs>
              <w:spacing w:line="360" w:lineRule="auto"/>
              <w:jc w:val="center"/>
              <w:rPr>
                <w:b w:val="0"/>
                <w:bCs/>
                <w:color w:val="auto"/>
                <w:sz w:val="20"/>
                <w:szCs w:val="20"/>
              </w:rPr>
            </w:pPr>
            <w:r>
              <w:rPr>
                <w:rFonts w:hint="eastAsia"/>
                <w:b w:val="0"/>
                <w:bCs/>
                <w:color w:val="auto"/>
                <w:sz w:val="20"/>
                <w:szCs w:val="20"/>
              </w:rPr>
              <w:t>技术员（细胞</w:t>
            </w:r>
            <w:r>
              <w:rPr>
                <w:b w:val="0"/>
                <w:bCs/>
                <w:color w:val="auto"/>
                <w:sz w:val="20"/>
                <w:szCs w:val="20"/>
              </w:rPr>
              <w:t>方向</w:t>
            </w:r>
            <w:r>
              <w:rPr>
                <w:rFonts w:hint="eastAsia"/>
                <w:b w:val="0"/>
                <w:bCs/>
                <w:color w:val="auto"/>
                <w:sz w:val="20"/>
                <w:szCs w:val="20"/>
              </w:rPr>
              <w:t>）</w:t>
            </w:r>
          </w:p>
        </w:tc>
        <w:tc>
          <w:tcPr>
            <w:tcW w:w="1417" w:type="dxa"/>
            <w:vAlign w:val="center"/>
          </w:tcPr>
          <w:p>
            <w:pPr>
              <w:tabs>
                <w:tab w:val="left" w:pos="3390"/>
              </w:tabs>
              <w:spacing w:line="360" w:lineRule="auto"/>
              <w:jc w:val="center"/>
              <w:rPr>
                <w:color w:val="auto"/>
                <w:sz w:val="20"/>
                <w:szCs w:val="20"/>
              </w:rPr>
            </w:pPr>
            <w:r>
              <w:rPr>
                <w:rFonts w:hint="eastAsia"/>
                <w:color w:val="auto"/>
                <w:sz w:val="20"/>
                <w:szCs w:val="20"/>
              </w:rPr>
              <w:t>2</w:t>
            </w:r>
          </w:p>
        </w:tc>
        <w:tc>
          <w:tcPr>
            <w:tcW w:w="6379" w:type="dxa"/>
          </w:tcPr>
          <w:p>
            <w:pPr>
              <w:pStyle w:val="12"/>
              <w:numPr>
                <w:ilvl w:val="0"/>
                <w:numId w:val="3"/>
              </w:numPr>
              <w:ind w:firstLineChars="0"/>
              <w:jc w:val="left"/>
              <w:rPr>
                <w:rFonts w:hint="eastAsia" w:ascii="宋体" w:hAnsi="宋体"/>
                <w:b/>
                <w:color w:val="auto"/>
                <w:sz w:val="18"/>
                <w:szCs w:val="18"/>
                <w:shd w:val="clear" w:color="auto" w:fill="FFFFFF"/>
              </w:rPr>
            </w:pPr>
            <w:r>
              <w:rPr>
                <w:rFonts w:hint="eastAsia" w:ascii="宋体" w:hAnsi="宋体"/>
                <w:b/>
                <w:color w:val="auto"/>
                <w:sz w:val="18"/>
                <w:szCs w:val="18"/>
                <w:shd w:val="clear" w:color="auto" w:fill="FFFFFF"/>
              </w:rPr>
              <w:t>本科学历，生物技术</w:t>
            </w:r>
            <w:r>
              <w:rPr>
                <w:rFonts w:ascii="宋体" w:hAnsi="宋体"/>
                <w:b/>
                <w:color w:val="auto"/>
                <w:sz w:val="18"/>
                <w:szCs w:val="18"/>
                <w:shd w:val="clear" w:color="auto" w:fill="FFFFFF"/>
              </w:rPr>
              <w:t>、生物工程</w:t>
            </w:r>
            <w:r>
              <w:rPr>
                <w:rFonts w:hint="eastAsia" w:ascii="宋体" w:hAnsi="宋体"/>
                <w:b/>
                <w:color w:val="auto"/>
                <w:sz w:val="18"/>
                <w:szCs w:val="18"/>
                <w:shd w:val="clear" w:color="auto" w:fill="FFFFFF"/>
              </w:rPr>
              <w:t xml:space="preserve">等相关教育背景；                                                                        </w:t>
            </w:r>
          </w:p>
          <w:p>
            <w:pPr>
              <w:pStyle w:val="12"/>
              <w:numPr>
                <w:ilvl w:val="0"/>
                <w:numId w:val="3"/>
              </w:numPr>
              <w:ind w:firstLineChars="0"/>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熟悉细胞</w:t>
            </w:r>
            <w:r>
              <w:rPr>
                <w:rFonts w:ascii="宋体" w:hAnsi="宋体"/>
                <w:color w:val="auto"/>
                <w:sz w:val="18"/>
                <w:szCs w:val="18"/>
                <w:shd w:val="clear" w:color="auto" w:fill="FFFFFF"/>
              </w:rPr>
              <w:t>培养、</w:t>
            </w:r>
            <w:r>
              <w:rPr>
                <w:rFonts w:hint="eastAsia" w:ascii="宋体" w:hAnsi="宋体"/>
                <w:color w:val="auto"/>
                <w:sz w:val="18"/>
                <w:szCs w:val="18"/>
                <w:shd w:val="clear" w:color="auto" w:fill="FFFFFF"/>
              </w:rPr>
              <w:t>PCR、QPCR、Western Blot、IP、Elisa、分子克隆、载体构建、病毒包装、细胞转染等；</w:t>
            </w:r>
          </w:p>
          <w:p>
            <w:pPr>
              <w:pStyle w:val="12"/>
              <w:numPr>
                <w:ilvl w:val="0"/>
                <w:numId w:val="3"/>
              </w:numPr>
              <w:ind w:firstLineChars="0"/>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 xml:space="preserve">较强的记录、结果保存与分析的能力，良好的实验操作习惯； </w:t>
            </w:r>
          </w:p>
          <w:p>
            <w:pPr>
              <w:pStyle w:val="12"/>
              <w:numPr>
                <w:ilvl w:val="0"/>
                <w:numId w:val="3"/>
              </w:numPr>
              <w:ind w:firstLineChars="0"/>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具有较强的学习能力，较强的沟通表达能力，有责任感；</w:t>
            </w:r>
          </w:p>
          <w:p>
            <w:pPr>
              <w:pStyle w:val="12"/>
              <w:numPr>
                <w:ilvl w:val="0"/>
                <w:numId w:val="3"/>
              </w:numPr>
              <w:ind w:firstLineChars="0"/>
              <w:jc w:val="left"/>
              <w:rPr>
                <w:rFonts w:hint="eastAsia" w:ascii="宋体" w:hAnsi="宋体"/>
                <w:color w:val="auto"/>
                <w:sz w:val="18"/>
                <w:szCs w:val="18"/>
                <w:shd w:val="clear" w:color="auto" w:fill="FFFFFF"/>
              </w:rPr>
            </w:pPr>
            <w:r>
              <w:rPr>
                <w:rFonts w:hint="eastAsia" w:ascii="宋体" w:hAnsi="宋体"/>
                <w:color w:val="auto"/>
                <w:sz w:val="18"/>
                <w:szCs w:val="18"/>
                <w:shd w:val="clear" w:color="auto" w:fill="FFFFFF"/>
              </w:rPr>
              <w:t>富有团队合作精神。</w:t>
            </w:r>
          </w:p>
        </w:tc>
      </w:tr>
      <w:tr>
        <w:tblPrEx>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Layout w:type="fixed"/>
          <w:tblCellMar>
            <w:top w:w="0" w:type="dxa"/>
            <w:left w:w="108" w:type="dxa"/>
            <w:bottom w:w="0" w:type="dxa"/>
            <w:right w:w="108" w:type="dxa"/>
          </w:tblCellMar>
        </w:tblPrEx>
        <w:trPr>
          <w:trHeight w:val="1597" w:hRule="atLeast"/>
        </w:trPr>
        <w:tc>
          <w:tcPr>
            <w:tcW w:w="2122" w:type="dxa"/>
            <w:shd w:val="clear" w:color="auto" w:fill="ECECEC" w:themeFill="accent3" w:themeFillTint="33"/>
            <w:vAlign w:val="center"/>
          </w:tcPr>
          <w:p>
            <w:pPr>
              <w:tabs>
                <w:tab w:val="left" w:pos="3390"/>
              </w:tabs>
              <w:spacing w:line="360" w:lineRule="auto"/>
              <w:jc w:val="center"/>
              <w:rPr>
                <w:b w:val="0"/>
                <w:bCs/>
                <w:color w:val="auto"/>
                <w:sz w:val="20"/>
                <w:szCs w:val="20"/>
              </w:rPr>
            </w:pPr>
            <w:r>
              <w:rPr>
                <w:rFonts w:hint="eastAsia"/>
                <w:b w:val="0"/>
                <w:bCs/>
                <w:color w:val="auto"/>
                <w:sz w:val="20"/>
                <w:szCs w:val="20"/>
              </w:rPr>
              <w:t>项目</w:t>
            </w:r>
            <w:r>
              <w:rPr>
                <w:b w:val="0"/>
                <w:bCs/>
                <w:color w:val="auto"/>
                <w:sz w:val="20"/>
                <w:szCs w:val="20"/>
              </w:rPr>
              <w:t>研究</w:t>
            </w:r>
            <w:r>
              <w:rPr>
                <w:rFonts w:hint="eastAsia"/>
                <w:b w:val="0"/>
                <w:bCs/>
                <w:color w:val="auto"/>
                <w:sz w:val="20"/>
                <w:szCs w:val="20"/>
              </w:rPr>
              <w:t>员</w:t>
            </w:r>
          </w:p>
        </w:tc>
        <w:tc>
          <w:tcPr>
            <w:tcW w:w="1417" w:type="dxa"/>
            <w:shd w:val="clear" w:color="auto" w:fill="ECECEC" w:themeFill="accent3" w:themeFillTint="33"/>
            <w:vAlign w:val="center"/>
          </w:tcPr>
          <w:p>
            <w:pPr>
              <w:tabs>
                <w:tab w:val="left" w:pos="3390"/>
              </w:tabs>
              <w:spacing w:line="360" w:lineRule="auto"/>
              <w:jc w:val="center"/>
              <w:rPr>
                <w:color w:val="auto"/>
                <w:sz w:val="20"/>
                <w:szCs w:val="20"/>
              </w:rPr>
            </w:pPr>
            <w:r>
              <w:rPr>
                <w:rFonts w:hint="eastAsia"/>
                <w:color w:val="auto"/>
                <w:sz w:val="20"/>
                <w:szCs w:val="20"/>
              </w:rPr>
              <w:t>5</w:t>
            </w:r>
          </w:p>
        </w:tc>
        <w:tc>
          <w:tcPr>
            <w:tcW w:w="6379" w:type="dxa"/>
            <w:shd w:val="clear" w:color="auto" w:fill="ECECEC" w:themeFill="accent3" w:themeFillTint="33"/>
          </w:tcPr>
          <w:p>
            <w:pPr>
              <w:pStyle w:val="12"/>
              <w:numPr>
                <w:ilvl w:val="0"/>
                <w:numId w:val="4"/>
              </w:numPr>
              <w:ind w:firstLineChars="0"/>
              <w:jc w:val="left"/>
              <w:rPr>
                <w:rFonts w:hint="eastAsia" w:ascii="宋体" w:hAnsi="宋体"/>
                <w:color w:val="000000"/>
                <w:sz w:val="18"/>
                <w:szCs w:val="18"/>
                <w:shd w:val="clear" w:color="auto" w:fill="FFFFFF"/>
              </w:rPr>
            </w:pPr>
            <w:r>
              <w:rPr>
                <w:rFonts w:hint="eastAsia" w:ascii="宋体" w:hAnsi="宋体"/>
                <w:b/>
                <w:color w:val="000000"/>
                <w:sz w:val="18"/>
                <w:szCs w:val="18"/>
                <w:shd w:val="clear" w:color="auto" w:fill="FFFFFF"/>
              </w:rPr>
              <w:t>硕士</w:t>
            </w:r>
            <w:r>
              <w:rPr>
                <w:rFonts w:ascii="宋体" w:hAnsi="宋体"/>
                <w:b/>
                <w:color w:val="000000"/>
                <w:sz w:val="18"/>
                <w:szCs w:val="18"/>
                <w:shd w:val="clear" w:color="auto" w:fill="FFFFFF"/>
              </w:rPr>
              <w:t>学历，中药学/制药学相关专业</w:t>
            </w:r>
            <w:r>
              <w:rPr>
                <w:rFonts w:hint="eastAsia" w:ascii="宋体" w:hAnsi="宋体"/>
                <w:color w:val="000000"/>
                <w:sz w:val="18"/>
                <w:szCs w:val="18"/>
                <w:shd w:val="clear" w:color="auto" w:fill="FFFFFF"/>
              </w:rPr>
              <w:t>；</w:t>
            </w:r>
            <w:r>
              <w:rPr>
                <w:rFonts w:ascii="宋体" w:hAnsi="宋体"/>
                <w:color w:val="000000"/>
                <w:sz w:val="18"/>
                <w:szCs w:val="18"/>
                <w:shd w:val="clear" w:color="auto" w:fill="FFFFFF"/>
              </w:rPr>
              <w:t xml:space="preserve"> </w:t>
            </w:r>
          </w:p>
          <w:p>
            <w:pPr>
              <w:pStyle w:val="12"/>
              <w:numPr>
                <w:ilvl w:val="0"/>
                <w:numId w:val="4"/>
              </w:numPr>
              <w:ind w:firstLineChars="0"/>
              <w:jc w:val="left"/>
              <w:rPr>
                <w:rFonts w:hint="eastAsia" w:ascii="宋体" w:hAnsi="宋体"/>
                <w:color w:val="000000"/>
                <w:sz w:val="18"/>
                <w:szCs w:val="18"/>
                <w:shd w:val="clear" w:color="auto" w:fill="FFFFFF"/>
              </w:rPr>
            </w:pPr>
            <w:r>
              <w:rPr>
                <w:rFonts w:ascii="宋体" w:hAnsi="宋体"/>
                <w:color w:val="000000"/>
                <w:sz w:val="18"/>
                <w:szCs w:val="18"/>
                <w:shd w:val="clear" w:color="auto" w:fill="FFFFFF"/>
              </w:rPr>
              <w:t>掌握药物分析理论知识，能熟练使用HPLC\GC\IR\UV等检验仪器；</w:t>
            </w:r>
          </w:p>
          <w:p>
            <w:pPr>
              <w:pStyle w:val="12"/>
              <w:numPr>
                <w:ilvl w:val="0"/>
                <w:numId w:val="4"/>
              </w:numPr>
              <w:ind w:firstLineChars="0"/>
              <w:jc w:val="left"/>
              <w:rPr>
                <w:rFonts w:hint="eastAsia" w:ascii="宋体" w:hAnsi="宋体"/>
                <w:color w:val="000000"/>
                <w:sz w:val="18"/>
                <w:szCs w:val="18"/>
                <w:shd w:val="clear" w:color="auto" w:fill="FFFFFF"/>
              </w:rPr>
            </w:pPr>
            <w:r>
              <w:rPr>
                <w:rFonts w:hint="eastAsia" w:ascii="宋体" w:hAnsi="宋体"/>
                <w:color w:val="000000"/>
                <w:sz w:val="18"/>
                <w:szCs w:val="18"/>
                <w:shd w:val="clear" w:color="auto" w:fill="FFFFFF"/>
              </w:rPr>
              <w:t>对</w:t>
            </w:r>
            <w:r>
              <w:rPr>
                <w:rFonts w:ascii="宋体" w:hAnsi="宋体"/>
                <w:color w:val="000000"/>
                <w:sz w:val="18"/>
                <w:szCs w:val="18"/>
                <w:shd w:val="clear" w:color="auto" w:fill="FFFFFF"/>
              </w:rPr>
              <w:t>中药质量标准研究/制剂工艺改进等</w:t>
            </w:r>
            <w:r>
              <w:rPr>
                <w:rFonts w:hint="eastAsia" w:ascii="宋体" w:hAnsi="宋体"/>
                <w:color w:val="000000"/>
                <w:sz w:val="18"/>
                <w:szCs w:val="18"/>
                <w:shd w:val="clear" w:color="auto" w:fill="FFFFFF"/>
              </w:rPr>
              <w:t>有</w:t>
            </w:r>
            <w:r>
              <w:rPr>
                <w:rFonts w:ascii="宋体" w:hAnsi="宋体"/>
                <w:color w:val="000000"/>
                <w:sz w:val="18"/>
                <w:szCs w:val="18"/>
                <w:shd w:val="clear" w:color="auto" w:fill="FFFFFF"/>
              </w:rPr>
              <w:t>一定认识。</w:t>
            </w:r>
          </w:p>
          <w:p>
            <w:pPr>
              <w:pStyle w:val="12"/>
              <w:numPr>
                <w:ilvl w:val="0"/>
                <w:numId w:val="4"/>
              </w:numPr>
              <w:ind w:firstLineChars="0"/>
              <w:jc w:val="left"/>
              <w:rPr>
                <w:rFonts w:hint="eastAsia" w:ascii="宋体" w:hAnsi="宋体"/>
                <w:color w:val="000000"/>
                <w:sz w:val="18"/>
                <w:szCs w:val="18"/>
                <w:shd w:val="clear" w:color="auto" w:fill="FFFFFF"/>
              </w:rPr>
            </w:pPr>
            <w:r>
              <w:rPr>
                <w:rFonts w:hint="eastAsia"/>
                <w:color w:val="000000" w:themeColor="text1"/>
                <w:sz w:val="20"/>
                <w:szCs w:val="20"/>
                <w14:textFill>
                  <w14:solidFill>
                    <w14:schemeClr w14:val="tx1"/>
                  </w14:solidFill>
                </w14:textFill>
              </w:rPr>
              <w:t>较强的沟通表达及解决问题的能力；</w:t>
            </w:r>
          </w:p>
          <w:p>
            <w:pPr>
              <w:pStyle w:val="12"/>
              <w:numPr>
                <w:ilvl w:val="0"/>
                <w:numId w:val="4"/>
              </w:numPr>
              <w:ind w:firstLineChars="0"/>
              <w:jc w:val="left"/>
              <w:rPr>
                <w:rFonts w:hint="eastAsia" w:ascii="宋体" w:hAnsi="宋体"/>
                <w:color w:val="000000"/>
                <w:sz w:val="18"/>
                <w:szCs w:val="18"/>
                <w:shd w:val="clear" w:color="auto" w:fill="FFFFFF"/>
              </w:rPr>
            </w:pPr>
            <w:r>
              <w:rPr>
                <w:rFonts w:hint="eastAsia"/>
                <w:color w:val="000000" w:themeColor="text1"/>
                <w:sz w:val="20"/>
                <w:szCs w:val="20"/>
                <w14:textFill>
                  <w14:solidFill>
                    <w14:schemeClr w14:val="tx1"/>
                  </w14:solidFill>
                </w14:textFill>
              </w:rPr>
              <w:t>富有团队合作精神。</w:t>
            </w:r>
          </w:p>
        </w:tc>
      </w:tr>
      <w:tr>
        <w:tblPrEx>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Layout w:type="fixed"/>
          <w:tblCellMar>
            <w:top w:w="0" w:type="dxa"/>
            <w:left w:w="108" w:type="dxa"/>
            <w:bottom w:w="0" w:type="dxa"/>
            <w:right w:w="108" w:type="dxa"/>
          </w:tblCellMar>
        </w:tblPrEx>
        <w:trPr>
          <w:trHeight w:val="1377" w:hRule="atLeast"/>
        </w:trPr>
        <w:tc>
          <w:tcPr>
            <w:tcW w:w="2122" w:type="dxa"/>
            <w:vAlign w:val="center"/>
          </w:tcPr>
          <w:p>
            <w:pPr>
              <w:tabs>
                <w:tab w:val="left" w:pos="3390"/>
              </w:tabs>
              <w:spacing w:line="360" w:lineRule="auto"/>
              <w:jc w:val="center"/>
              <w:rPr>
                <w:rFonts w:hint="eastAsia"/>
                <w:b/>
                <w:bCs/>
                <w:color w:val="7C7C7C" w:themeColor="accent3" w:themeShade="BF"/>
                <w:sz w:val="20"/>
                <w:szCs w:val="20"/>
              </w:rPr>
            </w:pPr>
            <w:r>
              <w:rPr>
                <w:rFonts w:hint="eastAsia"/>
                <w:b w:val="0"/>
                <w:bCs/>
                <w:color w:val="auto"/>
                <w:sz w:val="20"/>
                <w:szCs w:val="20"/>
              </w:rPr>
              <w:t>项目申报员</w:t>
            </w:r>
          </w:p>
        </w:tc>
        <w:tc>
          <w:tcPr>
            <w:tcW w:w="1417" w:type="dxa"/>
            <w:vAlign w:val="center"/>
          </w:tcPr>
          <w:p>
            <w:pPr>
              <w:tabs>
                <w:tab w:val="left" w:pos="3390"/>
              </w:tabs>
              <w:spacing w:line="360" w:lineRule="auto"/>
              <w:jc w:val="center"/>
              <w:rPr>
                <w:rFonts w:hint="eastAsia"/>
                <w:color w:val="7C7C7C" w:themeColor="accent3" w:themeShade="BF"/>
                <w:sz w:val="20"/>
                <w:szCs w:val="20"/>
              </w:rPr>
            </w:pPr>
            <w:r>
              <w:rPr>
                <w:rFonts w:hint="eastAsia"/>
                <w:color w:val="7C7C7C" w:themeColor="accent3" w:themeShade="BF"/>
                <w:sz w:val="20"/>
                <w:szCs w:val="20"/>
              </w:rPr>
              <w:t>1</w:t>
            </w:r>
          </w:p>
        </w:tc>
        <w:tc>
          <w:tcPr>
            <w:tcW w:w="6379" w:type="dxa"/>
          </w:tcPr>
          <w:p>
            <w:pPr>
              <w:jc w:val="left"/>
              <w:rPr>
                <w:rFonts w:ascii="宋体" w:hAnsi="宋体"/>
                <w:b/>
                <w:color w:val="000000"/>
                <w:sz w:val="18"/>
                <w:szCs w:val="18"/>
                <w:shd w:val="clear" w:color="auto" w:fill="FFFFFF"/>
              </w:rPr>
            </w:pPr>
            <w:r>
              <w:rPr>
                <w:rFonts w:hint="eastAsia" w:ascii="宋体" w:hAnsi="宋体"/>
                <w:b/>
                <w:color w:val="000000"/>
                <w:sz w:val="18"/>
                <w:szCs w:val="18"/>
                <w:shd w:val="clear" w:color="auto" w:fill="FFFFFF"/>
              </w:rPr>
              <w:t>1）本科及以上学历，有科技项目申报相关工作经验者优先；</w:t>
            </w:r>
          </w:p>
          <w:p>
            <w:pPr>
              <w:jc w:val="left"/>
              <w:rPr>
                <w:rFonts w:ascii="宋体" w:hAnsi="宋体"/>
                <w:color w:val="000000"/>
                <w:sz w:val="18"/>
                <w:szCs w:val="18"/>
                <w:shd w:val="clear" w:color="auto" w:fill="FFFFFF"/>
              </w:rPr>
            </w:pPr>
            <w:r>
              <w:rPr>
                <w:rFonts w:hint="eastAsia" w:ascii="宋体" w:hAnsi="宋体"/>
                <w:color w:val="000000"/>
                <w:sz w:val="18"/>
                <w:szCs w:val="18"/>
                <w:shd w:val="clear" w:color="auto" w:fill="FFFFFF"/>
              </w:rPr>
              <w:t>2）文字能力强，写作功底深厚，最好有代表作品可供鉴定；</w:t>
            </w:r>
          </w:p>
          <w:p>
            <w:pPr>
              <w:jc w:val="left"/>
              <w:rPr>
                <w:rFonts w:ascii="宋体" w:hAnsi="宋体"/>
                <w:color w:val="000000"/>
                <w:sz w:val="18"/>
                <w:szCs w:val="18"/>
                <w:shd w:val="clear" w:color="auto" w:fill="FFFFFF"/>
              </w:rPr>
            </w:pPr>
            <w:r>
              <w:rPr>
                <w:rFonts w:ascii="宋体" w:hAnsi="宋体"/>
                <w:color w:val="000000"/>
                <w:sz w:val="18"/>
                <w:szCs w:val="18"/>
                <w:shd w:val="clear" w:color="auto" w:fill="FFFFFF"/>
              </w:rPr>
              <w:t>3</w:t>
            </w:r>
            <w:r>
              <w:rPr>
                <w:rFonts w:hint="eastAsia" w:ascii="宋体" w:hAnsi="宋体"/>
                <w:color w:val="000000"/>
                <w:sz w:val="18"/>
                <w:szCs w:val="18"/>
                <w:shd w:val="clear" w:color="auto" w:fill="FFFFFF"/>
              </w:rPr>
              <w:t>）熟练操作办公软件和设备，办事精细高效；</w:t>
            </w:r>
          </w:p>
          <w:p>
            <w:pPr>
              <w:jc w:val="left"/>
              <w:rPr>
                <w:rFonts w:hint="eastAsia" w:ascii="宋体" w:hAnsi="宋体"/>
                <w:b/>
                <w:color w:val="000000"/>
                <w:sz w:val="18"/>
                <w:szCs w:val="18"/>
                <w:shd w:val="clear" w:color="auto" w:fill="FFFFFF"/>
              </w:rPr>
            </w:pPr>
            <w:r>
              <w:rPr>
                <w:rFonts w:ascii="宋体" w:hAnsi="宋体"/>
                <w:color w:val="000000"/>
                <w:sz w:val="18"/>
                <w:szCs w:val="18"/>
                <w:shd w:val="clear" w:color="auto" w:fill="FFFFFF"/>
              </w:rPr>
              <w:t>4</w:t>
            </w:r>
            <w:r>
              <w:rPr>
                <w:rFonts w:hint="eastAsia" w:ascii="宋体" w:hAnsi="宋体"/>
                <w:color w:val="000000"/>
                <w:sz w:val="18"/>
                <w:szCs w:val="18"/>
                <w:shd w:val="clear" w:color="auto" w:fill="FFFFFF"/>
              </w:rPr>
              <w:t>）性格开朗，善于沟通，学习适应能力强，能承受偶尔加班压力。</w:t>
            </w:r>
          </w:p>
        </w:tc>
      </w:tr>
    </w:tbl>
    <w:p>
      <w:pPr>
        <w:pStyle w:val="12"/>
        <w:numPr>
          <w:ilvl w:val="0"/>
          <w:numId w:val="1"/>
        </w:numPr>
        <w:tabs>
          <w:tab w:val="left" w:pos="3390"/>
        </w:tabs>
        <w:spacing w:line="360" w:lineRule="auto"/>
        <w:ind w:firstLineChars="0"/>
        <w:rPr>
          <w:b/>
          <w:sz w:val="24"/>
          <w:szCs w:val="24"/>
        </w:rPr>
      </w:pPr>
      <w:r>
        <w:rPr>
          <w:rFonts w:hint="eastAsia"/>
          <w:b/>
          <w:sz w:val="24"/>
          <w:szCs w:val="24"/>
        </w:rPr>
        <w:t>联系</w:t>
      </w:r>
      <w:r>
        <w:rPr>
          <w:b/>
          <w:sz w:val="24"/>
          <w:szCs w:val="24"/>
        </w:rPr>
        <w:t>方式</w:t>
      </w:r>
    </w:p>
    <w:p>
      <w:pPr>
        <w:autoSpaceDE w:val="0"/>
        <w:autoSpaceDN w:val="0"/>
        <w:adjustRightInd w:val="0"/>
        <w:spacing w:line="276" w:lineRule="auto"/>
        <w:jc w:val="left"/>
        <w:rPr>
          <w:rFonts w:ascii="宋体" w:hAnsi="宋体"/>
          <w:szCs w:val="21"/>
        </w:rPr>
      </w:pPr>
      <w:r>
        <w:rPr>
          <w:rFonts w:hint="eastAsia" w:ascii="宋体" w:hAnsi="宋体"/>
          <w:szCs w:val="21"/>
        </w:rPr>
        <w:t>1.联系地址: 广州经济技术开发区科学城金峰园路</w:t>
      </w:r>
      <w:r>
        <w:rPr>
          <w:rFonts w:ascii="宋体" w:hAnsi="宋体"/>
          <w:szCs w:val="21"/>
        </w:rPr>
        <w:t>2</w:t>
      </w:r>
      <w:r>
        <w:rPr>
          <w:rFonts w:hint="eastAsia" w:ascii="宋体" w:hAnsi="宋体"/>
          <w:szCs w:val="21"/>
        </w:rPr>
        <w:t>号</w:t>
      </w:r>
    </w:p>
    <w:p>
      <w:pPr>
        <w:autoSpaceDE w:val="0"/>
        <w:autoSpaceDN w:val="0"/>
        <w:adjustRightInd w:val="0"/>
        <w:spacing w:line="276" w:lineRule="auto"/>
        <w:jc w:val="left"/>
        <w:rPr>
          <w:rFonts w:hint="eastAsia" w:ascii="宋体" w:hAnsi="宋体" w:eastAsia="宋体" w:cs="宋体"/>
          <w:sz w:val="21"/>
          <w:szCs w:val="21"/>
        </w:rPr>
      </w:pPr>
      <w:r>
        <w:rPr>
          <w:rFonts w:hint="eastAsia" w:ascii="宋体" w:hAnsi="宋体"/>
          <w:szCs w:val="21"/>
        </w:rPr>
        <w:t>2.联系</w:t>
      </w:r>
      <w:r>
        <w:rPr>
          <w:rFonts w:hint="eastAsia" w:ascii="宋体" w:hAnsi="宋体" w:eastAsia="宋体" w:cs="宋体"/>
          <w:sz w:val="21"/>
          <w:szCs w:val="21"/>
        </w:rPr>
        <w:t>人: 林小姐</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3.简历投递格式：</w:t>
      </w:r>
      <w:r>
        <w:rPr>
          <w:rFonts w:hint="eastAsia" w:ascii="宋体" w:hAnsi="宋体" w:eastAsia="宋体" w:cs="宋体"/>
          <w:sz w:val="21"/>
          <w:szCs w:val="21"/>
        </w:rPr>
        <w:t>香雪制药</w:t>
      </w:r>
      <w:r>
        <w:rPr>
          <w:rFonts w:hint="eastAsia" w:ascii="宋体" w:hAnsi="宋体" w:eastAsia="宋体" w:cs="宋体"/>
          <w:sz w:val="21"/>
          <w:szCs w:val="21"/>
          <w:lang w:val="en-US" w:eastAsia="zh-CN"/>
        </w:rPr>
        <w:t xml:space="preserve">+岗位+学历+姓名  </w:t>
      </w:r>
    </w:p>
    <w:p>
      <w:pPr>
        <w:ind w:firstLine="210" w:firstLineChars="1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发送至邮箱：</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"mailto:xiangxuehr@xphcn.com" </w:instrText>
      </w:r>
      <w:r>
        <w:rPr>
          <w:rFonts w:hint="eastAsia" w:ascii="宋体" w:hAnsi="宋体" w:eastAsia="宋体" w:cs="宋体"/>
          <w:sz w:val="21"/>
          <w:szCs w:val="21"/>
        </w:rPr>
        <w:fldChar w:fldCharType="separate"/>
      </w:r>
      <w:r>
        <w:rPr>
          <w:rFonts w:hint="eastAsia" w:ascii="宋体" w:hAnsi="宋体" w:eastAsia="宋体" w:cs="宋体"/>
          <w:sz w:val="21"/>
          <w:szCs w:val="21"/>
        </w:rPr>
        <w:t>xiangxuehr@xphcn.com</w:t>
      </w:r>
      <w:r>
        <w:rPr>
          <w:rFonts w:hint="eastAsia" w:ascii="宋体" w:hAnsi="宋体" w:eastAsia="宋体" w:cs="宋体"/>
          <w:sz w:val="21"/>
          <w:szCs w:val="21"/>
        </w:rPr>
        <w:fldChar w:fldCharType="end"/>
      </w:r>
      <w:r>
        <w:rPr>
          <w:rFonts w:hint="eastAsia" w:ascii="宋体" w:hAnsi="宋体" w:eastAsia="宋体" w:cs="宋体"/>
          <w:sz w:val="21"/>
          <w:szCs w:val="21"/>
        </w:rPr>
        <w:t>；xlifesc_pub@xphcn.com</w:t>
      </w:r>
    </w:p>
    <w:p>
      <w:pPr>
        <w:rPr>
          <w:rFonts w:hint="eastAsia" w:ascii="宋体" w:hAnsi="宋体" w:eastAsia="宋体" w:cs="宋体"/>
          <w:sz w:val="21"/>
          <w:szCs w:val="21"/>
          <w:lang w:val="en-US" w:eastAsia="zh-CN"/>
        </w:rPr>
      </w:pPr>
      <w:bookmarkStart w:id="0" w:name="_GoBack"/>
      <w:bookmarkEnd w:id="0"/>
    </w:p>
    <w:sectPr>
      <w:headerReference r:id="rId3" w:type="default"/>
      <w:footerReference r:id="rId4" w:type="default"/>
      <w:pgSz w:w="11906" w:h="16838"/>
      <w:pgMar w:top="1440" w:right="1077" w:bottom="1440" w:left="107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drawing>
        <wp:anchor distT="0" distB="0" distL="114300" distR="114300" simplePos="0" relativeHeight="251658240" behindDoc="1" locked="0" layoutInCell="1" allowOverlap="1">
          <wp:simplePos x="0" y="0"/>
          <wp:positionH relativeFrom="column">
            <wp:posOffset>3897630</wp:posOffset>
          </wp:positionH>
          <wp:positionV relativeFrom="paragraph">
            <wp:posOffset>-1357630</wp:posOffset>
          </wp:positionV>
          <wp:extent cx="2914015" cy="223647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rcRect l="13656" t="7580" r="5891" b="6152"/>
                  <a:stretch>
                    <a:fillRect/>
                  </a:stretch>
                </pic:blipFill>
                <pic:spPr>
                  <a:xfrm>
                    <a:off x="0" y="0"/>
                    <a:ext cx="2924112" cy="2244087"/>
                  </a:xfrm>
                  <a:prstGeom prst="rect">
                    <a:avLst/>
                  </a:prstGeom>
                  <a:ln>
                    <a:noFill/>
                  </a:ln>
                </pic:spPr>
              </pic:pic>
            </a:graphicData>
          </a:graphic>
        </wp:anchor>
      </w:drawing>
    </w:r>
    <w:r>
      <w:rPr>
        <w:rFonts w:hint="eastAsia" w:ascii="宋体" w:hAnsi="宋体"/>
        <w:color w:val="000000" w:themeColor="text1"/>
        <w:sz w:val="21"/>
        <w:szCs w:val="21"/>
        <w14:textFill>
          <w14:solidFill>
            <w14:schemeClr w14:val="tx1"/>
          </w14:solidFill>
        </w14:textFill>
      </w:rPr>
      <w:t>地址</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广州市</w:t>
    </w:r>
    <w:r>
      <w:rPr>
        <w:rFonts w:ascii="宋体" w:hAnsi="宋体"/>
        <w:color w:val="000000" w:themeColor="text1"/>
        <w:sz w:val="21"/>
        <w:szCs w:val="21"/>
        <w14:textFill>
          <w14:solidFill>
            <w14:schemeClr w14:val="tx1"/>
          </w14:solidFill>
        </w14:textFill>
      </w:rPr>
      <w:t>经济技术开发区科学城金峰园路</w:t>
    </w:r>
    <w:r>
      <w:rPr>
        <w:rFonts w:hint="eastAsia" w:ascii="宋体" w:hAnsi="宋体"/>
        <w:color w:val="000000" w:themeColor="text1"/>
        <w:sz w:val="21"/>
        <w:szCs w:val="21"/>
        <w14:textFill>
          <w14:solidFill>
            <w14:schemeClr w14:val="tx1"/>
          </w14:solidFill>
        </w14:textFill>
      </w:rPr>
      <w:t>2号</w:t>
    </w:r>
  </w:p>
  <w:p>
    <w:pPr>
      <w:pStyle w:val="3"/>
      <w:rPr>
        <w:rFonts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电话</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020-222114</w:t>
    </w:r>
    <w:r>
      <w:rPr>
        <w:rFonts w:ascii="宋体" w:hAnsi="宋体"/>
        <w:color w:val="000000" w:themeColor="text1"/>
        <w:sz w:val="21"/>
        <w:szCs w:val="21"/>
        <w14:textFill>
          <w14:solidFill>
            <w14:schemeClr w14:val="tx1"/>
          </w14:solidFill>
        </w14:textFill>
      </w:rPr>
      <w:t>83</w:t>
    </w:r>
    <w:r>
      <w:rPr>
        <w:rFonts w:hint="eastAsia" w:ascii="宋体" w:hAnsi="宋体"/>
        <w:color w:val="000000" w:themeColor="text1"/>
        <w:sz w:val="21"/>
        <w:szCs w:val="21"/>
        <w14:textFill>
          <w14:solidFill>
            <w14:schemeClr w14:val="tx1"/>
          </w14:solidFill>
        </w14:textFill>
      </w:rPr>
      <w:t xml:space="preserve"> </w:t>
    </w:r>
    <w:r>
      <w:rPr>
        <w:rFonts w:ascii="宋体" w:hAnsi="宋体"/>
        <w:color w:val="000000" w:themeColor="text1"/>
        <w:sz w:val="21"/>
        <w:szCs w:val="21"/>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传真</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020-22211445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6" w:space="0"/>
      </w:pBdr>
      <w:jc w:val="left"/>
    </w:pPr>
    <w:r>
      <w:drawing>
        <wp:inline distT="0" distB="0" distL="0" distR="0">
          <wp:extent cx="2219325" cy="3524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231151" cy="354743"/>
                  </a:xfrm>
                  <a:prstGeom prst="rect">
                    <a:avLst/>
                  </a:prstGeom>
                </pic:spPr>
              </pic:pic>
            </a:graphicData>
          </a:graphic>
        </wp:inline>
      </w:drawing>
    </w:r>
    <w:r>
      <w:rPr>
        <w:rFonts w:hint="eastAsia" w:ascii="宋体" w:hAnsi="宋体"/>
        <w:sz w:val="21"/>
        <w:szCs w:val="21"/>
      </w:rPr>
      <w:t xml:space="preserve">                                </w:t>
    </w:r>
    <w:r>
      <w:rPr>
        <w:rFonts w:hint="eastAsia" w:ascii="黑体" w:hAnsi="黑体" w:eastAsia="黑体"/>
        <w:sz w:val="24"/>
        <w:szCs w:val="24"/>
      </w:rPr>
      <w:t xml:space="preserve"> </w:t>
    </w:r>
    <w:r>
      <w:rPr>
        <w:rFonts w:hint="eastAsia" w:ascii="黑体" w:hAnsi="黑体" w:eastAsia="黑体"/>
        <w:b/>
        <w:sz w:val="24"/>
        <w:szCs w:val="24"/>
      </w:rPr>
      <w:t xml:space="preserve"> </w:t>
    </w:r>
    <w:r>
      <w:rPr>
        <w:rFonts w:hint="eastAsia" w:ascii="宋体" w:hAnsi="宋体"/>
        <w:b/>
        <w:color w:val="000000" w:themeColor="text1"/>
        <w:sz w:val="24"/>
        <w:szCs w:val="24"/>
        <w14:textFill>
          <w14:solidFill>
            <w14:schemeClr w14:val="tx1"/>
          </w14:solidFill>
        </w14:textFill>
      </w:rPr>
      <w:t xml:space="preserve"> </w:t>
    </w:r>
    <w:r>
      <w:rPr>
        <w:rFonts w:ascii="宋体" w:hAnsi="宋体"/>
        <w:b/>
        <w:color w:val="000000" w:themeColor="text1"/>
        <w:sz w:val="24"/>
        <w:szCs w:val="24"/>
        <w14:textFill>
          <w14:solidFill>
            <w14:schemeClr w14:val="tx1"/>
          </w14:solidFill>
        </w14:textFill>
      </w:rPr>
      <w:t xml:space="preserve">   </w:t>
    </w:r>
    <w:r>
      <w:rPr>
        <w:rFonts w:hint="eastAsia" w:ascii="宋体" w:hAnsi="宋体"/>
        <w:color w:val="000000" w:themeColor="text1"/>
        <w:sz w:val="21"/>
        <w:szCs w:val="21"/>
        <w14:textFill>
          <w14:solidFill>
            <w14:schemeClr w14:val="tx1"/>
          </w14:solidFill>
        </w14:textFill>
      </w:rPr>
      <w:t>香雪</w:t>
    </w:r>
    <w:r>
      <w:rPr>
        <w:rFonts w:ascii="宋体" w:hAnsi="宋体"/>
        <w:color w:val="000000" w:themeColor="text1"/>
        <w:sz w:val="21"/>
        <w:szCs w:val="21"/>
        <w14:textFill>
          <w14:solidFill>
            <w14:schemeClr w14:val="tx1"/>
          </w14:solidFill>
        </w14:textFill>
      </w:rPr>
      <w:t>生命科学研究中心</w:t>
    </w:r>
    <w:r>
      <w:rPr>
        <w:rFonts w:hint="eastAsia" w:ascii="黑体" w:hAnsi="黑体" w:eastAsia="黑体"/>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C7D43"/>
    <w:multiLevelType w:val="multilevel"/>
    <w:tmpl w:val="1D5C7D4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F948CE"/>
    <w:multiLevelType w:val="multilevel"/>
    <w:tmpl w:val="32F948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5C1557"/>
    <w:multiLevelType w:val="multilevel"/>
    <w:tmpl w:val="365C15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FAF0F31"/>
    <w:multiLevelType w:val="multilevel"/>
    <w:tmpl w:val="5FAF0F31"/>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199"/>
    <w:rsid w:val="0005683A"/>
    <w:rsid w:val="0008457B"/>
    <w:rsid w:val="000C3604"/>
    <w:rsid w:val="000E4A4A"/>
    <w:rsid w:val="000F58A1"/>
    <w:rsid w:val="002F2E39"/>
    <w:rsid w:val="002F311B"/>
    <w:rsid w:val="00363E59"/>
    <w:rsid w:val="00467DA2"/>
    <w:rsid w:val="004B5561"/>
    <w:rsid w:val="00560929"/>
    <w:rsid w:val="00623D02"/>
    <w:rsid w:val="00640B16"/>
    <w:rsid w:val="006B0391"/>
    <w:rsid w:val="0072771E"/>
    <w:rsid w:val="0076333C"/>
    <w:rsid w:val="00770B8C"/>
    <w:rsid w:val="007B2E4D"/>
    <w:rsid w:val="007C3403"/>
    <w:rsid w:val="007E6918"/>
    <w:rsid w:val="00875FEC"/>
    <w:rsid w:val="00890E20"/>
    <w:rsid w:val="008C6199"/>
    <w:rsid w:val="008C6ADF"/>
    <w:rsid w:val="00967FAB"/>
    <w:rsid w:val="0098371C"/>
    <w:rsid w:val="00B96893"/>
    <w:rsid w:val="00C538AC"/>
    <w:rsid w:val="00C82704"/>
    <w:rsid w:val="00D127AD"/>
    <w:rsid w:val="00D20D66"/>
    <w:rsid w:val="00D81A95"/>
    <w:rsid w:val="00D87A0B"/>
    <w:rsid w:val="00DD39C7"/>
    <w:rsid w:val="00DD71F3"/>
    <w:rsid w:val="00E62BCC"/>
    <w:rsid w:val="00E76CB1"/>
    <w:rsid w:val="00F36B57"/>
    <w:rsid w:val="00F428F5"/>
    <w:rsid w:val="00F50882"/>
    <w:rsid w:val="57D20C4A"/>
    <w:rsid w:val="7AAE1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qFormat/>
    <w:uiPriority w:val="99"/>
    <w:rPr>
      <w:sz w:val="18"/>
      <w:szCs w:val="18"/>
    </w:rPr>
  </w:style>
  <w:style w:type="character" w:customStyle="1" w:styleId="10">
    <w:name w:val="页脚 字符"/>
    <w:basedOn w:val="5"/>
    <w:link w:val="3"/>
    <w:qFormat/>
    <w:uiPriority w:val="99"/>
    <w:rPr>
      <w:sz w:val="18"/>
      <w:szCs w:val="18"/>
    </w:rPr>
  </w:style>
  <w:style w:type="character" w:customStyle="1" w:styleId="11">
    <w:name w:val="批注框文本 字符"/>
    <w:basedOn w:val="5"/>
    <w:link w:val="2"/>
    <w:semiHidden/>
    <w:uiPriority w:val="99"/>
    <w:rPr>
      <w:sz w:val="18"/>
      <w:szCs w:val="18"/>
    </w:rPr>
  </w:style>
  <w:style w:type="paragraph" w:styleId="12">
    <w:name w:val="List Paragraph"/>
    <w:basedOn w:val="1"/>
    <w:qFormat/>
    <w:uiPriority w:val="34"/>
    <w:pPr>
      <w:ind w:firstLine="420" w:firstLineChars="200"/>
    </w:pPr>
  </w:style>
  <w:style w:type="table" w:customStyle="1" w:styleId="13">
    <w:name w:val="Grid Table 6 Colorful Accent 3"/>
    <w:basedOn w:val="7"/>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Layout w:type="fixed"/>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194</Words>
  <Characters>1112</Characters>
  <Lines>9</Lines>
  <Paragraphs>2</Paragraphs>
  <TotalTime>0</TotalTime>
  <ScaleCrop>false</ScaleCrop>
  <LinksUpToDate>false</LinksUpToDate>
  <CharactersWithSpaces>1304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2018-10-17T03:52:00Z</dcterms:created>
  <dc:creator>方顺丽</dc:creator>
  <cp:lastModifiedBy>黄杨</cp:lastModifiedBy>
  <cp:lastPrinted>2016-08-24T05:51:00Z</cp:lastPrinted>
  <dcterms:modified xsi:type="dcterms:W3CDTF">2019-03-07T03:44:37Z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