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adjustRightInd/>
        <w:snapToGrid/>
        <w:spacing w:after="0"/>
        <w:ind w:firstLine="1651" w:firstLineChars="550"/>
        <w:rPr>
          <w:rFonts w:ascii="微软雅黑" w:hAnsi="微软雅黑" w:cs="宋体"/>
          <w:b/>
          <w:bCs/>
          <w:color w:val="000000"/>
          <w:sz w:val="30"/>
        </w:rPr>
      </w:pPr>
      <w:r>
        <w:rPr>
          <w:rFonts w:hint="eastAsia" w:ascii="微软雅黑" w:hAnsi="微软雅黑" w:cs="宋体"/>
          <w:b/>
          <w:bCs/>
          <w:color w:val="000000"/>
          <w:sz w:val="30"/>
        </w:rPr>
        <w:t>乐山师范学院2019年诚聘博士教师</w:t>
      </w:r>
    </w:p>
    <w:p>
      <w:pPr>
        <w:shd w:val="clear" w:color="auto" w:fill="FFFFFF"/>
        <w:adjustRightInd/>
        <w:snapToGrid/>
        <w:spacing w:after="0" w:line="320" w:lineRule="exact"/>
        <w:ind w:firstLine="480" w:firstLineChars="200"/>
        <w:rPr>
          <w:rFonts w:ascii="微软雅黑" w:hAnsi="微软雅黑" w:cs="宋体"/>
          <w:color w:val="000000"/>
          <w:sz w:val="24"/>
          <w:szCs w:val="24"/>
        </w:rPr>
      </w:pPr>
      <w:r>
        <w:rPr>
          <w:rFonts w:hint="eastAsia" w:ascii="微软雅黑" w:hAnsi="微软雅黑" w:cs="宋体"/>
          <w:color w:val="000000"/>
          <w:sz w:val="24"/>
          <w:szCs w:val="24"/>
        </w:rPr>
        <w:t xml:space="preserve">乐山师范学院始建于1978年，2000年3月经教育部批准，由原乐山师范高等专科学校、乐山教育学院合并升格为四川省省属普通本科院校。2006年通过教育部本科教学工作水平评估并获得良好等级。2012年纳入教育部“东部高校对口支援西部高校计划”，由武汉大学对口支援建设。  </w:t>
      </w:r>
    </w:p>
    <w:p>
      <w:pPr>
        <w:shd w:val="clear" w:color="auto" w:fill="FFFFFF"/>
        <w:adjustRightInd/>
        <w:snapToGrid/>
        <w:spacing w:after="0" w:line="320" w:lineRule="exact"/>
        <w:ind w:firstLine="482"/>
        <w:rPr>
          <w:rFonts w:ascii="微软雅黑" w:hAnsi="微软雅黑" w:cs="宋体"/>
          <w:color w:val="000000"/>
          <w:sz w:val="24"/>
          <w:szCs w:val="24"/>
        </w:rPr>
      </w:pPr>
      <w:r>
        <w:rPr>
          <w:rFonts w:hint="eastAsia" w:ascii="微软雅黑" w:hAnsi="微软雅黑" w:cs="宋体"/>
          <w:color w:val="000000"/>
          <w:sz w:val="24"/>
          <w:szCs w:val="24"/>
        </w:rPr>
        <w:t xml:space="preserve">学校地处世界自然与文化双遗产所在地、中国最佳旅游目的地、世界文化名人郭沫若的故乡——被誉为“森林在城市中，城市在山水中”的乐山市，东望乐山大佛，南临大渡河，西眺峨眉山，北接城市绿心，1938-1946年，国立武汉大学曾在此办学八年。学校占地近1000亩，建筑面积43.3万平方米，图书馆馆藏纸质书（刊）184.35万册，电子书（刊）921万册，拥有48个数据库，教学科研仪器设备总值1.673亿元。现有全日制普通本、专科在校生16000余人，教职工1200余人，高级职称近500人，博士、硕士近900人，省级教学名师4人，享受国务院政府津贴的专家6人，四川省有突出贡献中青年专家3人，四川省学术和技术带头人5人，四川省学术和技术带头人后备人选18人，乐山市各类拔尖、优秀人才32人。有63名教师在武汉大学、电子科技大学、四川师范大学、西南大学等学校担任兼职博士、硕士研究生导师。     </w:t>
      </w:r>
    </w:p>
    <w:p>
      <w:pPr>
        <w:shd w:val="clear" w:color="auto" w:fill="FFFFFF"/>
        <w:adjustRightInd/>
        <w:snapToGrid/>
        <w:spacing w:after="0" w:line="320" w:lineRule="exact"/>
        <w:ind w:firstLine="482"/>
        <w:rPr>
          <w:rFonts w:ascii="微软雅黑" w:hAnsi="微软雅黑" w:cs="宋体"/>
          <w:color w:val="000000"/>
          <w:sz w:val="24"/>
          <w:szCs w:val="24"/>
        </w:rPr>
      </w:pPr>
      <w:r>
        <w:rPr>
          <w:rFonts w:hint="eastAsia" w:ascii="微软雅黑" w:hAnsi="微软雅黑" w:cs="宋体"/>
          <w:color w:val="000000"/>
          <w:sz w:val="24"/>
          <w:szCs w:val="24"/>
        </w:rPr>
        <w:t xml:space="preserve">学校设有18个教学院，59个本科专业，涉及文、理、工、教、经、管、法、农、艺九大学科门类。有教授（研究员）职务任职资格评议权学科7个，副教授（副研究员）职务任职资格评议权学科16个。建设有1个国家级专业综合改革项目、1门国家级教师教育精品资源共享课，1个国家级大学生校外实践教育基地、226项国家级大学生创新创业训练项目。建设有5个省级教育综合改革试点项目、3个省级应用型示范专业，7个省级特色专业、12个省级专业综合改革项目，22门省级精品课程、21门省级精品资源共享课、7门省级精品在线开放课程、2门省级创新创业示范课程、2个省级教学团队、5个省级实验教学示范中心项目、3个省级人才培养模式创新实验区、11个省级“卓越计划”项目。学校连续四届荣获全国普通高校优秀教学成果奖，其中国家级特等奖1项、一等奖1项和二等奖2项，升本以来获省级教学成果奖32项。学校沫若艺术团连续3届获得全国大学生艺术展演活动一等奖。学校纳入国家发改委、教育部、中国残联“特殊教育学校建设规划（二期）”项目单位，建设有1个国家级特殊教育教师培养培训基地。设有四川省中小学教师继续教育培训中心、四川省特殊教育教师继续教育培训中心等省级培训机构。学校设有全国硕士研究生招生考试考点。  </w:t>
      </w:r>
    </w:p>
    <w:p>
      <w:pPr>
        <w:shd w:val="clear" w:color="auto" w:fill="FFFFFF"/>
        <w:adjustRightInd/>
        <w:snapToGrid/>
        <w:spacing w:after="0" w:line="320" w:lineRule="exact"/>
        <w:ind w:firstLine="482"/>
        <w:rPr>
          <w:rFonts w:ascii="微软雅黑" w:hAnsi="微软雅黑" w:cs="宋体"/>
          <w:color w:val="000000"/>
          <w:sz w:val="24"/>
          <w:szCs w:val="24"/>
        </w:rPr>
      </w:pPr>
      <w:r>
        <w:rPr>
          <w:rFonts w:hint="eastAsia" w:ascii="微软雅黑" w:hAnsi="微软雅黑" w:cs="宋体"/>
          <w:color w:val="000000"/>
          <w:sz w:val="24"/>
          <w:szCs w:val="24"/>
        </w:rPr>
        <w:t xml:space="preserve">学校现有2个四川省哲学社会科学重点研究基地——四川旅游发展研究中心、四川郭沫若研究中心，1个四川省社会科学普及基地——四川世界遗产普及基地，1个四川省重点实验室——竹类病虫防控与资源开发实验室。建设有“西南山地濒危鸟类保护”“互联网自然语言智能处理”“天然产物化学与小分子催化”等3个四川省高校重点实验室，四川特殊教育发展研究中心和四川基层公共文化服务研究中心2个四川省高校人文社会科学重点研究基地，四川省旅游局遗产旅游重点研究基地、“川南地方品种鸡产业化”四川省高校工程研究中心。建有预防职务犯罪研究中心等23个校级研究机构，峨眉山生物多样性保护与利用研究所等2个校级重点实验室。办有《乐山师范学院学报》《郭沫若学刊》《基础教育论坛》等学术刊物。升本以来获得国家哲学社会科学和自然科学基金项目40项，省、部、市级科研奖329项，其中四川省哲学社会科学优秀成果奖27项，四川省科技进步奖2项。在郭沫若研究、苏轼研究、旅游研究、世界遗产保护、仿酶催化研究等方面特色较突出。 </w:t>
      </w:r>
    </w:p>
    <w:p>
      <w:pPr>
        <w:shd w:val="clear" w:color="auto" w:fill="FFFFFF"/>
        <w:adjustRightInd/>
        <w:snapToGrid/>
        <w:spacing w:after="0" w:line="320" w:lineRule="exact"/>
        <w:ind w:firstLine="482"/>
        <w:rPr>
          <w:rFonts w:ascii="微软雅黑" w:hAnsi="微软雅黑" w:cs="宋体"/>
          <w:color w:val="000000"/>
          <w:sz w:val="24"/>
          <w:szCs w:val="24"/>
        </w:rPr>
      </w:pPr>
      <w:r>
        <w:rPr>
          <w:rFonts w:hint="eastAsia" w:ascii="微软雅黑" w:hAnsi="微软雅黑" w:cs="宋体"/>
          <w:color w:val="000000"/>
          <w:sz w:val="24"/>
          <w:szCs w:val="24"/>
        </w:rPr>
        <w:t xml:space="preserve"> 学校对接和服务地方经济社会发展转型升级，以实现资源共享、优势互补和共谋发展为目标，加强校地合作。与乐山市人民政府、乐山市高新区开展全面战略合作，与市辖区（市、县）及有关市级部门紧密联系合作，在工业、第三产业、城市建设和农村经济发展总体规划和区县经济建设方面提供智力支持。主动建设体现乐山特色的科学研究机构和资源，注重科技成果转化与推广，近年来，获得国家授权专利288项，著作权24项，在优质水稻种植、竹蟓虫防治、黄连地膜除草、禽畜粪便循环利用等农业科技的研究和技术转化等方面取得了显著成绩。  </w:t>
      </w:r>
    </w:p>
    <w:p>
      <w:pPr>
        <w:shd w:val="clear" w:color="auto" w:fill="FFFFFF"/>
        <w:adjustRightInd/>
        <w:snapToGrid/>
        <w:spacing w:after="0" w:line="320" w:lineRule="exact"/>
        <w:ind w:firstLine="482"/>
        <w:rPr>
          <w:rFonts w:ascii="微软雅黑" w:hAnsi="微软雅黑" w:cs="宋体"/>
          <w:color w:val="000000"/>
          <w:sz w:val="24"/>
          <w:szCs w:val="24"/>
        </w:rPr>
      </w:pPr>
      <w:r>
        <w:rPr>
          <w:rFonts w:hint="eastAsia" w:ascii="微软雅黑" w:hAnsi="微软雅黑" w:cs="宋体"/>
          <w:color w:val="000000"/>
          <w:sz w:val="24"/>
          <w:szCs w:val="24"/>
        </w:rPr>
        <w:t xml:space="preserve">学校始终坚持科学发展观和社会主义办学方向，坚持以社会需求为导向，大力提高应用型、创新型人才培养质量。近年来生源质量稳步提升，在校学生参加全国大学生数学建模、电子设计、智能汽车、师范生教学技能、课外学术科技作品、大学生艺术展演等竞赛获得突出成绩。建设有乐山市（青年）大学生创业孵化基地和乐山市大学生创新创业俱乐部。  </w:t>
      </w:r>
    </w:p>
    <w:p>
      <w:pPr>
        <w:shd w:val="clear" w:color="auto" w:fill="FFFFFF"/>
        <w:adjustRightInd/>
        <w:snapToGrid/>
        <w:spacing w:after="0" w:line="320" w:lineRule="exact"/>
        <w:ind w:firstLine="482"/>
        <w:rPr>
          <w:rFonts w:ascii="微软雅黑" w:hAnsi="微软雅黑" w:cs="宋体"/>
          <w:color w:val="000000"/>
          <w:sz w:val="24"/>
          <w:szCs w:val="24"/>
        </w:rPr>
      </w:pPr>
      <w:r>
        <w:rPr>
          <w:rFonts w:hint="eastAsia" w:ascii="微软雅黑" w:hAnsi="微软雅黑" w:cs="宋体"/>
          <w:color w:val="000000"/>
          <w:sz w:val="24"/>
          <w:szCs w:val="24"/>
        </w:rPr>
        <w:t xml:space="preserve">学校注重教育国际交流与合作。与瑞典斯德哥尔摩大学、捷克帕拉茨基大学、英国斯旺西大学等37所国（境）外高等教育或研究机构建立了友好合作关系，共同开展师生交流、联合培养、科研合作、智库建设等活动。  </w:t>
      </w:r>
    </w:p>
    <w:p>
      <w:pPr>
        <w:shd w:val="clear" w:color="auto" w:fill="FFFFFF"/>
        <w:adjustRightInd/>
        <w:snapToGrid/>
        <w:spacing w:after="0" w:line="320" w:lineRule="exact"/>
        <w:ind w:firstLine="482"/>
        <w:rPr>
          <w:rFonts w:ascii="微软雅黑" w:hAnsi="微软雅黑" w:cs="宋体"/>
          <w:color w:val="000000"/>
          <w:sz w:val="24"/>
          <w:szCs w:val="24"/>
        </w:rPr>
      </w:pPr>
      <w:r>
        <w:rPr>
          <w:rFonts w:hint="eastAsia" w:ascii="微软雅黑" w:hAnsi="微软雅黑" w:cs="宋体"/>
          <w:color w:val="000000"/>
          <w:sz w:val="24"/>
          <w:szCs w:val="24"/>
        </w:rPr>
        <w:t>学校在省内外具有良好的社会声誉和广泛的社会影响，先后获得“国家级语言文字规范化示范校”“全国艺术教育先进学校”“全国五四红旗团委”“省级文明单位”“四川省先进单位” “四川省五一劳动奖”等荣誉，被授予“四川省乡村旅游实用人才开发示范单位”“国家西部旅游专门人才培训示范单位” “四川省依法治校示范校”，连续七次被评为“四川省普通高等学校毕业生就业先进集体”。历经40年的建设，学校现已发展成为一所立足四川、面向西部、辐射全国的、以教师教育为本、非教师教育并重的多科性地方院校。目前，全校上下正凝心聚力，发扬“敢为人先，臻于至善”的乐师精神，围绕“内涵发展、质量提升、特色凝聚”，努力践行“弘毅自强、笃学践行”校训，发挥教师教育优势，适应现代服务业需要，锐意改革，为实现学校第三次党代会提出的“争创省属一流大学”的目标而努力奋斗！ </w:t>
      </w:r>
    </w:p>
    <w:p>
      <w:pPr>
        <w:shd w:val="clear" w:color="auto" w:fill="FFFFFF"/>
        <w:adjustRightInd/>
        <w:snapToGrid/>
        <w:spacing w:after="0"/>
        <w:ind w:firstLine="3452" w:firstLineChars="1150"/>
        <w:rPr>
          <w:rFonts w:ascii="微软雅黑" w:hAnsi="微软雅黑" w:cs="宋体"/>
          <w:b/>
          <w:bCs/>
          <w:color w:val="000000"/>
          <w:sz w:val="30"/>
          <w:szCs w:val="30"/>
        </w:rPr>
      </w:pPr>
    </w:p>
    <w:p>
      <w:pPr>
        <w:shd w:val="clear" w:color="auto" w:fill="FFFFFF"/>
        <w:adjustRightInd/>
        <w:snapToGrid/>
        <w:spacing w:after="0"/>
        <w:ind w:firstLine="3452" w:firstLineChars="1150"/>
        <w:rPr>
          <w:rFonts w:ascii="微软雅黑" w:hAnsi="微软雅黑" w:cs="宋体"/>
          <w:b/>
          <w:bCs/>
          <w:color w:val="000000"/>
          <w:sz w:val="30"/>
          <w:szCs w:val="30"/>
        </w:rPr>
      </w:pPr>
      <w:r>
        <w:rPr>
          <w:rFonts w:hint="eastAsia" w:ascii="微软雅黑" w:hAnsi="微软雅黑" w:cs="宋体"/>
          <w:b/>
          <w:bCs/>
          <w:color w:val="000000"/>
          <w:sz w:val="30"/>
          <w:szCs w:val="30"/>
        </w:rPr>
        <w:t>引进待遇</w:t>
      </w:r>
    </w:p>
    <w:p>
      <w:pPr>
        <w:shd w:val="clear" w:color="auto" w:fill="FFFFFF"/>
        <w:adjustRightInd/>
        <w:snapToGrid/>
        <w:spacing w:after="0"/>
        <w:ind w:firstLine="480"/>
        <w:rPr>
          <w:rFonts w:ascii="微软雅黑" w:hAnsi="微软雅黑" w:cs="宋体"/>
          <w:b/>
          <w:color w:val="000000"/>
          <w:sz w:val="24"/>
          <w:szCs w:val="24"/>
        </w:rPr>
      </w:pPr>
      <w:r>
        <w:rPr>
          <w:rFonts w:hint="eastAsia" w:ascii="微软雅黑" w:hAnsi="微软雅黑" w:cs="宋体"/>
          <w:b/>
          <w:color w:val="000000"/>
          <w:sz w:val="24"/>
          <w:szCs w:val="24"/>
        </w:rPr>
        <w:t>一、省级及以上各类专家、学者或其他特别优秀的人才，待遇从优，坚持“一人一策”“一人一议”原则。</w:t>
      </w:r>
    </w:p>
    <w:p>
      <w:pPr>
        <w:spacing w:after="0" w:line="480" w:lineRule="exact"/>
        <w:ind w:firstLine="480" w:firstLineChars="200"/>
        <w:rPr>
          <w:rFonts w:ascii="微软雅黑" w:hAnsi="微软雅黑" w:cs="宋体"/>
          <w:b/>
          <w:color w:val="000000"/>
          <w:sz w:val="24"/>
          <w:szCs w:val="24"/>
        </w:rPr>
      </w:pPr>
      <w:r>
        <w:rPr>
          <w:rFonts w:hint="eastAsia" w:ascii="微软雅黑" w:hAnsi="微软雅黑" w:cs="宋体"/>
          <w:b/>
          <w:color w:val="000000"/>
          <w:sz w:val="24"/>
          <w:szCs w:val="24"/>
        </w:rPr>
        <w:t>二、编制内引进</w:t>
      </w:r>
    </w:p>
    <w:p>
      <w:pPr>
        <w:shd w:val="clear" w:color="auto" w:fill="FFFFFF"/>
        <w:adjustRightInd/>
        <w:snapToGrid/>
        <w:spacing w:after="0"/>
        <w:ind w:firstLine="480"/>
        <w:rPr>
          <w:rFonts w:ascii="微软雅黑" w:hAnsi="微软雅黑" w:cs="宋体"/>
          <w:color w:val="000000"/>
          <w:sz w:val="24"/>
          <w:szCs w:val="24"/>
        </w:rPr>
      </w:pPr>
      <w:r>
        <w:rPr>
          <w:rFonts w:hint="eastAsia" w:ascii="微软雅黑" w:hAnsi="微软雅黑" w:cs="宋体"/>
          <w:color w:val="000000"/>
          <w:sz w:val="24"/>
          <w:szCs w:val="24"/>
        </w:rPr>
        <w:t>1.具有正高级职称的博士（50周岁以下），人才引进费50-60万元，科研启动费文科15-20万元、理科20-25万元；具有副高级职称的博士（45周岁以下），人才引进费45-55万元，科研启动费文科10-15万元、理科15-20万元；博士（40周岁以下），人才引进费40-50万元，科研启动费文科10万元、理科15万元。</w:t>
      </w:r>
    </w:p>
    <w:p>
      <w:pPr>
        <w:spacing w:after="0"/>
        <w:ind w:firstLine="480" w:firstLineChars="200"/>
        <w:rPr>
          <w:rFonts w:ascii="微软雅黑" w:hAnsi="微软雅黑" w:cs="宋体"/>
          <w:color w:val="000000"/>
          <w:sz w:val="24"/>
          <w:szCs w:val="24"/>
        </w:rPr>
      </w:pPr>
      <w:r>
        <w:rPr>
          <w:rFonts w:hint="eastAsia" w:ascii="微软雅黑" w:hAnsi="微软雅黑" w:cs="宋体"/>
          <w:color w:val="000000"/>
          <w:sz w:val="24"/>
          <w:szCs w:val="24"/>
        </w:rPr>
        <w:t>2.博士到校报到工作后，学校安排过渡周转房供其租住；如不能安排过渡周转房的，学校发给每月1000元的租房补贴，发放期限为3年。</w:t>
      </w:r>
    </w:p>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3.编制内录用，全职工作，基本服务期8-10年。</w:t>
      </w:r>
    </w:p>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 xml:space="preserve">4.教学一线的博士基本工资和国家规定的津补贴等按事业单位工作人员相应标准执行。其中，具有副高级职称的博士来校工作的，应聘在专业技术七级岗位的，享受六级“教学科研岗位”的基本岗位绩效工资；无副高级职称的博士来校工作的，享受七级“教学科研岗位”的基本岗位绩效工资。 </w:t>
      </w:r>
    </w:p>
    <w:p>
      <w:pPr>
        <w:spacing w:after="0" w:line="480" w:lineRule="exact"/>
        <w:ind w:firstLine="480" w:firstLineChars="200"/>
        <w:rPr>
          <w:rFonts w:ascii="微软雅黑" w:hAnsi="微软雅黑" w:cs="宋体"/>
          <w:b/>
          <w:color w:val="000000"/>
          <w:sz w:val="24"/>
          <w:szCs w:val="24"/>
        </w:rPr>
      </w:pPr>
      <w:r>
        <w:rPr>
          <w:rFonts w:hint="eastAsia" w:ascii="微软雅黑" w:hAnsi="微软雅黑" w:cs="宋体"/>
          <w:b/>
          <w:color w:val="000000"/>
          <w:sz w:val="24"/>
          <w:szCs w:val="24"/>
        </w:rPr>
        <w:t>三、编制内年薪制</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安排在校本级及以上平台、实验室工作的博士，原则上实行年薪制。</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1.人才引进费、科研启动费、租房补贴参照“编制内引进”博士执行。</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2.编制内录用，全职工作，基本服务期8-10年。</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3.基本工资和国家规定的津补贴等按事业单位工作人员相应标准执行。</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4. 按项目或协议进行管理，管理期内的年薪数额原则上参照同等职称职级人员的工资收入协商确定。</w:t>
      </w:r>
    </w:p>
    <w:p>
      <w:pPr>
        <w:spacing w:after="0" w:line="480" w:lineRule="exact"/>
        <w:ind w:firstLine="480" w:firstLineChars="200"/>
        <w:rPr>
          <w:rFonts w:ascii="微软雅黑" w:hAnsi="微软雅黑" w:cs="宋体"/>
          <w:b/>
          <w:color w:val="000000"/>
          <w:sz w:val="24"/>
          <w:szCs w:val="24"/>
        </w:rPr>
      </w:pPr>
      <w:r>
        <w:rPr>
          <w:rFonts w:hint="eastAsia" w:ascii="微软雅黑" w:hAnsi="微软雅黑" w:cs="宋体"/>
          <w:b/>
          <w:color w:val="000000"/>
          <w:sz w:val="24"/>
          <w:szCs w:val="24"/>
        </w:rPr>
        <w:t>四、编制外全职工作年薪制</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1.博士年薪20-30万（含五险一金等）。</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2.住房补贴、交通补贴、生活补贴等每年3万元。</w:t>
      </w:r>
    </w:p>
    <w:p>
      <w:pPr>
        <w:spacing w:after="0"/>
        <w:ind w:firstLine="600" w:firstLineChars="250"/>
        <w:rPr>
          <w:rFonts w:ascii="微软雅黑" w:hAnsi="微软雅黑" w:cs="宋体"/>
          <w:color w:val="000000"/>
          <w:sz w:val="24"/>
          <w:szCs w:val="24"/>
        </w:rPr>
      </w:pPr>
      <w:r>
        <w:rPr>
          <w:rFonts w:hint="eastAsia" w:ascii="微软雅黑" w:hAnsi="微软雅黑" w:cs="宋体"/>
          <w:color w:val="000000"/>
          <w:sz w:val="24"/>
          <w:szCs w:val="24"/>
        </w:rPr>
        <w:t>3.编制外聘用，全职工作，按项目或协议进行管理，基本服务期2年。</w:t>
      </w:r>
    </w:p>
    <w:p>
      <w:pPr>
        <w:spacing w:after="0"/>
        <w:ind w:firstLine="3302" w:firstLineChars="1100"/>
        <w:rPr>
          <w:rFonts w:ascii="微软雅黑" w:hAnsi="微软雅黑" w:cs="宋体"/>
          <w:b/>
          <w:color w:val="000000"/>
          <w:sz w:val="30"/>
          <w:szCs w:val="30"/>
        </w:rPr>
      </w:pPr>
    </w:p>
    <w:p>
      <w:pPr>
        <w:spacing w:after="0"/>
        <w:ind w:firstLine="3302" w:firstLineChars="1100"/>
        <w:rPr>
          <w:rFonts w:ascii="微软雅黑" w:hAnsi="微软雅黑" w:cs="宋体"/>
          <w:b/>
          <w:color w:val="000000"/>
          <w:sz w:val="30"/>
          <w:szCs w:val="30"/>
        </w:rPr>
      </w:pPr>
      <w:r>
        <w:rPr>
          <w:rFonts w:hint="eastAsia" w:ascii="微软雅黑" w:hAnsi="微软雅黑" w:cs="宋体"/>
          <w:b/>
          <w:color w:val="000000"/>
          <w:sz w:val="30"/>
          <w:szCs w:val="30"/>
        </w:rPr>
        <w:t>其他待遇</w:t>
      </w:r>
    </w:p>
    <w:p>
      <w:pPr>
        <w:shd w:val="clear" w:color="auto" w:fill="FFFFFF"/>
        <w:adjustRightInd/>
        <w:snapToGrid/>
        <w:spacing w:after="0"/>
        <w:ind w:firstLine="480"/>
        <w:rPr>
          <w:rFonts w:ascii="微软雅黑" w:hAnsi="微软雅黑" w:cs="宋体"/>
          <w:color w:val="000000"/>
          <w:sz w:val="24"/>
          <w:szCs w:val="24"/>
        </w:rPr>
      </w:pPr>
      <w:r>
        <w:rPr>
          <w:rFonts w:hint="eastAsia" w:ascii="微软雅黑" w:hAnsi="微软雅黑" w:cs="宋体"/>
          <w:color w:val="000000"/>
          <w:sz w:val="24"/>
          <w:szCs w:val="24"/>
        </w:rPr>
        <w:t>1.新进的博士经本人申报、学校审核，可以直接纳入校学术与技术梯队成员管理，每年享受学术津贴、学术交流差旅费、科研经费。</w:t>
      </w:r>
    </w:p>
    <w:p>
      <w:pPr>
        <w:spacing w:after="0"/>
        <w:ind w:firstLine="480" w:firstLineChars="200"/>
        <w:rPr>
          <w:rFonts w:ascii="微软雅黑" w:hAnsi="微软雅黑" w:cs="宋体"/>
          <w:color w:val="000000"/>
          <w:sz w:val="24"/>
          <w:szCs w:val="24"/>
        </w:rPr>
      </w:pPr>
      <w:r>
        <w:rPr>
          <w:rFonts w:hint="eastAsia" w:ascii="微软雅黑" w:hAnsi="微软雅黑" w:cs="宋体"/>
          <w:color w:val="000000"/>
          <w:sz w:val="24"/>
          <w:szCs w:val="24"/>
        </w:rPr>
        <w:t>2.夫妻双方均为博士的且属于在编人员的，除分别计算引进待遇外，额外合计再增加10万元的人才引进费。</w:t>
      </w:r>
    </w:p>
    <w:p>
      <w:pPr>
        <w:spacing w:after="0"/>
        <w:ind w:firstLine="480" w:firstLineChars="200"/>
        <w:rPr>
          <w:rFonts w:ascii="微软雅黑" w:hAnsi="微软雅黑" w:cs="宋体"/>
          <w:color w:val="000000"/>
          <w:sz w:val="24"/>
          <w:szCs w:val="24"/>
        </w:rPr>
      </w:pPr>
      <w:r>
        <w:rPr>
          <w:rFonts w:hint="eastAsia" w:ascii="微软雅黑" w:hAnsi="微软雅黑" w:cs="宋体"/>
          <w:color w:val="000000"/>
          <w:sz w:val="24"/>
          <w:szCs w:val="24"/>
        </w:rPr>
        <w:t>3. 学校实行“紧缺、急需专业”政策，引进的博士到校工作后，专业（以博士学位证上记载的专业为准）属于我校紧缺或急需专业的，学校另行提供10万元科研启动费。</w:t>
      </w:r>
    </w:p>
    <w:p>
      <w:pPr>
        <w:spacing w:after="0"/>
        <w:ind w:firstLine="480" w:firstLineChars="200"/>
        <w:rPr>
          <w:rFonts w:ascii="微软雅黑" w:hAnsi="微软雅黑" w:cs="宋体"/>
          <w:color w:val="000000"/>
          <w:sz w:val="24"/>
          <w:szCs w:val="24"/>
        </w:rPr>
      </w:pPr>
      <w:r>
        <w:rPr>
          <w:rFonts w:hint="eastAsia" w:ascii="微软雅黑" w:hAnsi="微软雅黑" w:cs="宋体"/>
          <w:color w:val="000000"/>
          <w:sz w:val="24"/>
          <w:szCs w:val="24"/>
        </w:rPr>
        <w:t>4.引进博士的配偶若具有本科学历且经学校面试考核通过，可协商按人事代理解决工作。解决了配偶工作的，其博士服务期再延长5年。</w:t>
      </w:r>
    </w:p>
    <w:p>
      <w:pPr>
        <w:shd w:val="clear" w:color="auto" w:fill="FFFFFF"/>
        <w:adjustRightInd/>
        <w:snapToGrid/>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5.博士到校参加考核，学校提供交通费和住宿费。博士到校报到工作后，学校酌情补助差旅费和搬迁费。</w:t>
      </w:r>
    </w:p>
    <w:p>
      <w:pPr>
        <w:shd w:val="clear" w:color="auto" w:fill="FFFFFF"/>
        <w:adjustRightInd/>
        <w:snapToGrid/>
        <w:spacing w:after="0"/>
        <w:ind w:firstLine="3152" w:firstLineChars="1050"/>
        <w:rPr>
          <w:rFonts w:ascii="微软雅黑" w:hAnsi="微软雅黑" w:cs="宋体"/>
          <w:color w:val="000000"/>
          <w:sz w:val="30"/>
          <w:szCs w:val="30"/>
        </w:rPr>
      </w:pPr>
      <w:r>
        <w:rPr>
          <w:rFonts w:hint="eastAsia" w:ascii="微软雅黑" w:hAnsi="微软雅黑" w:cs="宋体"/>
          <w:b/>
          <w:bCs/>
          <w:color w:val="000000"/>
          <w:sz w:val="30"/>
          <w:szCs w:val="30"/>
        </w:rPr>
        <w:t>联系方式</w:t>
      </w:r>
    </w:p>
    <w:p>
      <w:pPr>
        <w:shd w:val="clear" w:color="auto" w:fill="FFFFFF"/>
        <w:adjustRightInd/>
        <w:snapToGrid/>
        <w:spacing w:after="0"/>
        <w:ind w:firstLine="480"/>
        <w:rPr>
          <w:rFonts w:ascii="微软雅黑" w:hAnsi="微软雅黑" w:cs="宋体"/>
          <w:color w:val="000000"/>
          <w:sz w:val="24"/>
          <w:szCs w:val="24"/>
        </w:rPr>
      </w:pPr>
      <w:r>
        <w:rPr>
          <w:rFonts w:hint="eastAsia" w:ascii="微软雅黑" w:hAnsi="微软雅黑" w:cs="宋体"/>
          <w:color w:val="000000"/>
          <w:sz w:val="24"/>
          <w:szCs w:val="24"/>
        </w:rPr>
        <w:t>人事处联系电话：0833-2276306       联系人：聂老师    </w:t>
      </w:r>
    </w:p>
    <w:p>
      <w:pPr>
        <w:widowControl w:val="0"/>
        <w:numPr>
          <w:ilvl w:val="0"/>
          <w:numId w:val="1"/>
        </w:numPr>
        <w:adjustRightInd/>
        <w:snapToGrid/>
        <w:spacing w:after="0" w:line="560" w:lineRule="exact"/>
        <w:ind w:left="-4" w:leftChars="-2" w:right="-506" w:rightChars="-230"/>
        <w:jc w:val="both"/>
        <w:rPr>
          <w:rFonts w:asciiTheme="majorEastAsia" w:hAnsiTheme="majorEastAsia" w:eastAsiaTheme="majorEastAsia"/>
          <w:sz w:val="28"/>
          <w:szCs w:val="28"/>
        </w:rPr>
      </w:pPr>
      <w:r>
        <w:rPr>
          <w:rFonts w:hint="eastAsia" w:ascii="微软雅黑" w:hAnsi="微软雅黑" w:cs="宋体"/>
          <w:color w:val="000000"/>
          <w:sz w:val="24"/>
          <w:szCs w:val="24"/>
        </w:rPr>
        <w:t>E-mail: </w:t>
      </w:r>
      <w:r>
        <w:fldChar w:fldCharType="begin"/>
      </w:r>
      <w:r>
        <w:instrText xml:space="preserve"> HYPERLINK "mailto:12345@lsnu.edu.cn" </w:instrText>
      </w:r>
      <w:r>
        <w:fldChar w:fldCharType="separate"/>
      </w:r>
      <w:r>
        <w:rPr>
          <w:rFonts w:hint="eastAsia" w:ascii="微软雅黑" w:hAnsi="微软雅黑" w:cs="宋体"/>
          <w:color w:val="333333"/>
          <w:sz w:val="24"/>
          <w:szCs w:val="24"/>
        </w:rPr>
        <w:t>12345@lsnu.edu.cn</w:t>
      </w:r>
      <w:r>
        <w:rPr>
          <w:rFonts w:hint="eastAsia" w:ascii="微软雅黑" w:hAnsi="微软雅黑" w:cs="宋体"/>
          <w:color w:val="333333"/>
          <w:sz w:val="24"/>
          <w:szCs w:val="24"/>
        </w:rPr>
        <w:fldChar w:fldCharType="end"/>
      </w:r>
      <w:bookmarkStart w:id="0" w:name="_GoBack"/>
      <w:bookmarkEnd w:id="0"/>
      <w:r>
        <w:rPr>
          <w:rFonts w:hint="eastAsia" w:ascii="仿宋" w:hAnsi="仿宋" w:eastAsia="仿宋"/>
          <w:b/>
          <w:color w:val="000000" w:themeColor="text1"/>
          <w:sz w:val="32"/>
          <w:szCs w:val="32"/>
        </w:rPr>
        <w:t>（</w:t>
      </w:r>
      <w:r>
        <w:rPr>
          <w:rFonts w:hint="eastAsia" w:asciiTheme="majorEastAsia" w:hAnsiTheme="majorEastAsia" w:eastAsiaTheme="majorEastAsia"/>
          <w:sz w:val="28"/>
          <w:szCs w:val="28"/>
        </w:rPr>
        <w:t>邮件标题名标注为：姓名+学历+单位岗位+学校+专业+中研网</w:t>
      </w:r>
      <w:r>
        <w:rPr>
          <w:rFonts w:hint="eastAsia" w:ascii="仿宋" w:hAnsi="仿宋" w:eastAsia="仿宋"/>
          <w:b/>
          <w:color w:val="000000" w:themeColor="text1"/>
          <w:sz w:val="32"/>
          <w:szCs w:val="32"/>
        </w:rPr>
        <w:t>）</w:t>
      </w:r>
    </w:p>
    <w:p>
      <w:pPr>
        <w:shd w:val="clear" w:color="auto" w:fill="FFFFFF"/>
        <w:adjustRightInd/>
        <w:snapToGrid/>
        <w:spacing w:after="0"/>
        <w:ind w:firstLine="480"/>
        <w:rPr>
          <w:rFonts w:ascii="微软雅黑" w:hAnsi="微软雅黑" w:cs="宋体"/>
          <w:color w:val="000000"/>
          <w:sz w:val="24"/>
          <w:szCs w:val="24"/>
        </w:rPr>
      </w:pPr>
    </w:p>
    <w:p>
      <w:pPr>
        <w:shd w:val="clear" w:color="auto" w:fill="FFFFFF"/>
        <w:adjustRightInd/>
        <w:snapToGrid/>
        <w:spacing w:after="0"/>
        <w:ind w:firstLine="480"/>
        <w:rPr>
          <w:rFonts w:ascii="微软雅黑" w:hAnsi="微软雅黑" w:cs="宋体"/>
          <w:color w:val="000000"/>
          <w:sz w:val="24"/>
          <w:szCs w:val="24"/>
        </w:rPr>
      </w:pPr>
      <w:r>
        <w:rPr>
          <w:rFonts w:hint="eastAsia" w:ascii="微软雅黑" w:hAnsi="微软雅黑" w:cs="宋体"/>
          <w:color w:val="000000"/>
          <w:sz w:val="24"/>
          <w:szCs w:val="24"/>
        </w:rPr>
        <w:t>官方微信</w:t>
      </w:r>
      <w:r>
        <w:rPr>
          <w:rFonts w:ascii="微软雅黑" w:hAnsi="微软雅黑" w:cs="宋体"/>
          <w:color w:val="000000"/>
          <w:sz w:val="24"/>
          <w:szCs w:val="24"/>
        </w:rPr>
        <w:drawing>
          <wp:inline distT="0" distB="0" distL="0" distR="0">
            <wp:extent cx="696595" cy="676275"/>
            <wp:effectExtent l="19050" t="0" r="7873" b="0"/>
            <wp:docPr id="1" name="图片 1" descr="http://rensc.lsnu.edu.cn/uploadfile/2018/0314/201803140312438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rensc.lsnu.edu.cn/uploadfile/2018/0314/20180314031243870.jpg"/>
                    <pic:cNvPicPr>
                      <a:picLocks noChangeAspect="1" noChangeArrowheads="1"/>
                    </pic:cNvPicPr>
                  </pic:nvPicPr>
                  <pic:blipFill>
                    <a:blip r:embed="rId4" cstate="print"/>
                    <a:srcRect/>
                    <a:stretch>
                      <a:fillRect/>
                    </a:stretch>
                  </pic:blipFill>
                  <pic:spPr>
                    <a:xfrm>
                      <a:off x="0" y="0"/>
                      <a:ext cx="696977" cy="676275"/>
                    </a:xfrm>
                    <a:prstGeom prst="rect">
                      <a:avLst/>
                    </a:prstGeom>
                    <a:noFill/>
                    <a:ln w="9525">
                      <a:noFill/>
                      <a:miter lim="800000"/>
                      <a:headEnd/>
                      <a:tailEnd/>
                    </a:ln>
                  </pic:spPr>
                </pic:pic>
              </a:graphicData>
            </a:graphic>
          </wp:inline>
        </w:drawing>
      </w:r>
      <w:r>
        <w:rPr>
          <w:rFonts w:hint="eastAsia" w:ascii="微软雅黑" w:hAnsi="微软雅黑" w:cs="宋体"/>
          <w:color w:val="000000"/>
          <w:sz w:val="24"/>
          <w:szCs w:val="24"/>
        </w:rPr>
        <w:t>                                         官方微博</w:t>
      </w:r>
      <w:r>
        <w:rPr>
          <w:rFonts w:ascii="微软雅黑" w:hAnsi="微软雅黑" w:cs="宋体"/>
          <w:color w:val="000000"/>
          <w:sz w:val="24"/>
          <w:szCs w:val="24"/>
        </w:rPr>
        <w:drawing>
          <wp:inline distT="0" distB="0" distL="0" distR="0">
            <wp:extent cx="769620" cy="762000"/>
            <wp:effectExtent l="19050" t="0" r="0" b="0"/>
            <wp:docPr id="2" name="图片 2" descr="http://rensc.lsnu.edu.cn/uploadfile/2018/0314/20180314031314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rensc.lsnu.edu.cn/uploadfile/2018/0314/20180314031314133.jpg"/>
                    <pic:cNvPicPr>
                      <a:picLocks noChangeAspect="1" noChangeArrowheads="1"/>
                    </pic:cNvPicPr>
                  </pic:nvPicPr>
                  <pic:blipFill>
                    <a:blip r:embed="rId5" cstate="print"/>
                    <a:srcRect/>
                    <a:stretch>
                      <a:fillRect/>
                    </a:stretch>
                  </pic:blipFill>
                  <pic:spPr>
                    <a:xfrm>
                      <a:off x="0" y="0"/>
                      <a:ext cx="769776" cy="762000"/>
                    </a:xfrm>
                    <a:prstGeom prst="rect">
                      <a:avLst/>
                    </a:prstGeom>
                    <a:noFill/>
                    <a:ln w="9525">
                      <a:noFill/>
                      <a:miter lim="800000"/>
                      <a:headEnd/>
                      <a:tailEnd/>
                    </a:ln>
                  </pic:spPr>
                </pic:pic>
              </a:graphicData>
            </a:graphic>
          </wp:inline>
        </w:drawing>
      </w:r>
    </w:p>
    <w:p>
      <w:pPr>
        <w:shd w:val="clear" w:color="auto" w:fill="FFFFFF"/>
        <w:adjustRightInd/>
        <w:snapToGrid/>
        <w:spacing w:after="0"/>
        <w:ind w:firstLine="1921" w:firstLineChars="600"/>
        <w:rPr>
          <w:rFonts w:ascii="微软雅黑" w:hAnsi="微软雅黑" w:cs="宋体"/>
          <w:b/>
          <w:color w:val="000000"/>
          <w:sz w:val="32"/>
          <w:szCs w:val="24"/>
        </w:rPr>
      </w:pPr>
      <w:r>
        <w:rPr>
          <w:rFonts w:hint="eastAsia" w:ascii="微软雅黑" w:hAnsi="微软雅黑" w:cs="宋体"/>
          <w:b/>
          <w:color w:val="000000"/>
          <w:sz w:val="32"/>
          <w:szCs w:val="24"/>
        </w:rPr>
        <w:t>乐山师范学院2019年博士招聘计划</w:t>
      </w:r>
    </w:p>
    <w:p>
      <w:pPr>
        <w:shd w:val="clear" w:color="auto" w:fill="FFFFFF"/>
        <w:adjustRightInd/>
        <w:snapToGrid/>
        <w:spacing w:after="0"/>
        <w:rPr>
          <w:rFonts w:ascii="微软雅黑" w:hAnsi="微软雅黑" w:cs="宋体"/>
          <w:b/>
          <w:bCs/>
          <w:color w:val="000000"/>
          <w:sz w:val="28"/>
        </w:rPr>
      </w:pPr>
      <w:r>
        <w:rPr>
          <w:rFonts w:hint="eastAsia" w:ascii="微软雅黑" w:hAnsi="微软雅黑" w:cs="宋体"/>
          <w:b/>
          <w:bCs/>
          <w:color w:val="000000"/>
          <w:sz w:val="28"/>
        </w:rPr>
        <w:t>（招聘名额及专业不限，以下专业优先；其他专业的博士均可商议</w:t>
      </w:r>
      <w:r>
        <w:rPr>
          <w:rFonts w:ascii="微软雅黑" w:hAnsi="微软雅黑" w:cs="宋体"/>
          <w:b/>
          <w:bCs/>
          <w:color w:val="000000"/>
          <w:sz w:val="28"/>
        </w:rPr>
        <w:t>）</w:t>
      </w:r>
    </w:p>
    <w:tbl>
      <w:tblPr>
        <w:tblStyle w:val="7"/>
        <w:tblW w:w="9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1136"/>
        <w:gridCol w:w="807"/>
        <w:gridCol w:w="3715"/>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1426" w:type="dxa"/>
            <w:vAlign w:val="center"/>
          </w:tcPr>
          <w:p>
            <w:pPr>
              <w:adjustRightInd/>
              <w:snapToGrid/>
              <w:spacing w:after="0" w:line="330" w:lineRule="atLeast"/>
              <w:jc w:val="center"/>
              <w:rPr>
                <w:rFonts w:ascii="黑体" w:hAnsi="黑体" w:eastAsia="黑体" w:cs="宋体"/>
                <w:color w:val="666666"/>
                <w:sz w:val="24"/>
                <w:szCs w:val="24"/>
              </w:rPr>
            </w:pPr>
            <w:r>
              <w:rPr>
                <w:rFonts w:hint="eastAsia" w:ascii="黑体" w:hAnsi="黑体" w:eastAsia="黑体" w:cs="宋体"/>
                <w:b/>
                <w:bCs/>
                <w:color w:val="666666"/>
                <w:sz w:val="24"/>
                <w:szCs w:val="24"/>
              </w:rPr>
              <w:t>需求单位</w:t>
            </w:r>
          </w:p>
        </w:tc>
        <w:tc>
          <w:tcPr>
            <w:tcW w:w="1136" w:type="dxa"/>
            <w:vAlign w:val="center"/>
          </w:tcPr>
          <w:p>
            <w:pPr>
              <w:adjustRightInd/>
              <w:snapToGrid/>
              <w:spacing w:after="0" w:line="330" w:lineRule="atLeast"/>
              <w:jc w:val="center"/>
              <w:rPr>
                <w:rFonts w:ascii="黑体" w:hAnsi="黑体" w:eastAsia="黑体" w:cs="宋体"/>
                <w:color w:val="666666"/>
                <w:sz w:val="24"/>
                <w:szCs w:val="24"/>
              </w:rPr>
            </w:pPr>
            <w:r>
              <w:rPr>
                <w:rFonts w:hint="eastAsia" w:ascii="黑体" w:hAnsi="黑体" w:eastAsia="黑体" w:cs="宋体"/>
                <w:b/>
                <w:bCs/>
                <w:color w:val="666666"/>
                <w:sz w:val="24"/>
                <w:szCs w:val="24"/>
              </w:rPr>
              <w:t>岗位</w:t>
            </w:r>
          </w:p>
        </w:tc>
        <w:tc>
          <w:tcPr>
            <w:tcW w:w="807" w:type="dxa"/>
            <w:vAlign w:val="center"/>
          </w:tcPr>
          <w:p>
            <w:pPr>
              <w:adjustRightInd/>
              <w:snapToGrid/>
              <w:spacing w:after="0" w:line="330" w:lineRule="atLeast"/>
              <w:jc w:val="center"/>
              <w:rPr>
                <w:rFonts w:ascii="黑体" w:hAnsi="黑体" w:eastAsia="黑体" w:cs="宋体"/>
                <w:color w:val="666666"/>
                <w:sz w:val="24"/>
                <w:szCs w:val="24"/>
              </w:rPr>
            </w:pPr>
            <w:r>
              <w:rPr>
                <w:rFonts w:hint="eastAsia" w:ascii="黑体" w:hAnsi="黑体" w:eastAsia="黑体" w:cs="宋体"/>
                <w:b/>
                <w:bCs/>
                <w:color w:val="666666"/>
                <w:sz w:val="24"/>
                <w:szCs w:val="24"/>
              </w:rPr>
              <w:t>学历学位</w:t>
            </w:r>
          </w:p>
        </w:tc>
        <w:tc>
          <w:tcPr>
            <w:tcW w:w="3715" w:type="dxa"/>
            <w:vAlign w:val="center"/>
          </w:tcPr>
          <w:p>
            <w:pPr>
              <w:adjustRightInd/>
              <w:snapToGrid/>
              <w:spacing w:after="0" w:line="330" w:lineRule="atLeast"/>
              <w:ind w:firstLine="480"/>
              <w:jc w:val="center"/>
              <w:rPr>
                <w:rFonts w:ascii="黑体" w:hAnsi="黑体" w:eastAsia="黑体" w:cs="宋体"/>
                <w:color w:val="666666"/>
                <w:sz w:val="24"/>
                <w:szCs w:val="24"/>
              </w:rPr>
            </w:pPr>
            <w:r>
              <w:rPr>
                <w:rFonts w:hint="eastAsia" w:ascii="黑体" w:hAnsi="黑体" w:eastAsia="黑体" w:cs="宋体"/>
                <w:b/>
                <w:bCs/>
                <w:color w:val="666666"/>
                <w:sz w:val="24"/>
                <w:szCs w:val="24"/>
              </w:rPr>
              <w:t>学科专业</w:t>
            </w:r>
          </w:p>
        </w:tc>
        <w:tc>
          <w:tcPr>
            <w:tcW w:w="2062" w:type="dxa"/>
            <w:vAlign w:val="center"/>
          </w:tcPr>
          <w:p>
            <w:pPr>
              <w:adjustRightInd/>
              <w:snapToGrid/>
              <w:spacing w:after="0" w:line="330" w:lineRule="atLeast"/>
              <w:jc w:val="center"/>
              <w:rPr>
                <w:rFonts w:ascii="黑体" w:hAnsi="黑体" w:eastAsia="黑体" w:cs="宋体"/>
                <w:color w:val="666666"/>
                <w:sz w:val="24"/>
                <w:szCs w:val="24"/>
              </w:rPr>
            </w:pPr>
            <w:r>
              <w:rPr>
                <w:rFonts w:hint="eastAsia" w:ascii="黑体" w:hAnsi="黑体" w:eastAsia="黑体" w:cs="宋体"/>
                <w:b/>
                <w:bCs/>
                <w:color w:val="666666"/>
                <w:sz w:val="24"/>
                <w:szCs w:val="24"/>
              </w:rPr>
              <w:t>需求单位负责人联系方式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文学与新闻学院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课程与教学论（语文）、语言学及应用语言学、汉语言文字学及相关专业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任老师18990602578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马克思主义学院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马克思主义理论及相关专业（政治面貌须为中共党员）</w:t>
            </w:r>
          </w:p>
        </w:tc>
        <w:tc>
          <w:tcPr>
            <w:tcW w:w="2062" w:type="dxa"/>
            <w:vAlign w:val="center"/>
          </w:tcPr>
          <w:p>
            <w:pPr>
              <w:spacing w:after="0"/>
              <w:ind w:firstLine="480" w:firstLineChars="200"/>
              <w:rPr>
                <w:rFonts w:ascii="微软雅黑" w:hAnsi="微软雅黑" w:cs="宋体"/>
                <w:color w:val="000000"/>
                <w:sz w:val="24"/>
                <w:szCs w:val="24"/>
              </w:rPr>
            </w:pPr>
            <w:r>
              <w:rPr>
                <w:rFonts w:hint="eastAsia" w:ascii="微软雅黑" w:hAnsi="微软雅黑" w:cs="宋体"/>
                <w:color w:val="000000"/>
                <w:sz w:val="24"/>
                <w:szCs w:val="24"/>
              </w:rPr>
              <w:t>邹老师15386541263、619727266@qq.com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6" w:type="dxa"/>
            <w:vAlign w:val="center"/>
          </w:tcPr>
          <w:p>
            <w:pPr>
              <w:spacing w:after="0"/>
              <w:ind w:firstLine="120" w:firstLineChars="50"/>
              <w:rPr>
                <w:rFonts w:ascii="微软雅黑" w:hAnsi="微软雅黑" w:cs="宋体"/>
                <w:color w:val="000000"/>
                <w:sz w:val="24"/>
                <w:szCs w:val="24"/>
              </w:rPr>
            </w:pPr>
            <w:r>
              <w:rPr>
                <w:rFonts w:hint="eastAsia" w:ascii="微软雅黑" w:hAnsi="微软雅黑" w:cs="宋体"/>
                <w:color w:val="000000"/>
                <w:sz w:val="24"/>
                <w:szCs w:val="24"/>
              </w:rPr>
              <w:t>政法学院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行政管理、社会学、思想政治教育、社会保障、经济法学及相关专业</w:t>
            </w:r>
          </w:p>
        </w:tc>
        <w:tc>
          <w:tcPr>
            <w:tcW w:w="2062" w:type="dxa"/>
            <w:vAlign w:val="center"/>
          </w:tcPr>
          <w:p>
            <w:pPr>
              <w:spacing w:after="0"/>
              <w:ind w:firstLine="480" w:firstLineChars="200"/>
              <w:rPr>
                <w:rFonts w:ascii="微软雅黑" w:hAnsi="微软雅黑" w:cs="宋体"/>
                <w:color w:val="000000"/>
                <w:sz w:val="24"/>
                <w:szCs w:val="24"/>
              </w:rPr>
            </w:pPr>
            <w:r>
              <w:rPr>
                <w:rFonts w:hint="eastAsia" w:ascii="微软雅黑" w:hAnsi="微软雅黑" w:cs="宋体"/>
                <w:color w:val="000000"/>
                <w:sz w:val="24"/>
                <w:szCs w:val="24"/>
              </w:rPr>
              <w:t>程老师</w:t>
            </w:r>
          </w:p>
          <w:p>
            <w:pPr>
              <w:spacing w:after="0"/>
              <w:rPr>
                <w:rFonts w:ascii="微软雅黑" w:hAnsi="微软雅黑" w:cs="宋体"/>
                <w:color w:val="000000"/>
                <w:sz w:val="24"/>
                <w:szCs w:val="24"/>
              </w:rPr>
            </w:pPr>
            <w:r>
              <w:rPr>
                <w:rFonts w:hint="eastAsia" w:ascii="微软雅黑" w:hAnsi="微软雅黑" w:cs="宋体"/>
                <w:color w:val="000000"/>
                <w:sz w:val="24"/>
                <w:szCs w:val="24"/>
              </w:rPr>
              <w:t>15884377768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6" w:type="dxa"/>
            <w:vAlign w:val="center"/>
          </w:tcPr>
          <w:p>
            <w:pPr>
              <w:spacing w:after="0"/>
              <w:rPr>
                <w:rFonts w:ascii="微软雅黑" w:hAnsi="微软雅黑" w:cs="宋体"/>
                <w:color w:val="000000"/>
                <w:sz w:val="24"/>
                <w:szCs w:val="24"/>
              </w:rPr>
            </w:pPr>
            <w:r>
              <w:rPr>
                <w:rFonts w:hint="eastAsia" w:ascii="微软雅黑" w:hAnsi="微软雅黑" w:cs="宋体"/>
                <w:color w:val="000000"/>
                <w:sz w:val="24"/>
                <w:szCs w:val="24"/>
              </w:rPr>
              <w:t>外国语学院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翻译、商务英语及相关专业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汤老师13980279501、</w:t>
            </w:r>
            <w:r>
              <w:rPr>
                <w:rFonts w:hint="eastAsia" w:ascii="微软雅黑" w:hAnsi="微软雅黑" w:cs="宋体"/>
                <w:color w:val="000000"/>
                <w:sz w:val="24"/>
                <w:szCs w:val="24"/>
              </w:rPr>
              <w:br w:type="textWrapping"/>
            </w:r>
            <w:r>
              <w:rPr>
                <w:rFonts w:hint="eastAsia" w:ascii="微软雅黑" w:hAnsi="微软雅黑" w:cs="宋体"/>
                <w:color w:val="000000"/>
                <w:sz w:val="24"/>
                <w:szCs w:val="24"/>
              </w:rPr>
              <w:t>459930768@qq.com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数学与信息科学学院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基础数学、应用数学、运筹学与控制论、计算数学及相关专业；</w:t>
            </w:r>
          </w:p>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金融数学、数量经济学、金融学（数理金融学、证券与期货、金融建模与金融计量分析）及相关专业；统计学、应用统计、概率论与数理统计及相关专业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龙老师13608130533</w:t>
            </w:r>
          </w:p>
          <w:p>
            <w:pPr>
              <w:spacing w:after="0"/>
              <w:rPr>
                <w:rFonts w:ascii="微软雅黑" w:hAnsi="微软雅黑" w:cs="宋体"/>
                <w:color w:val="000000"/>
                <w:sz w:val="24"/>
                <w:szCs w:val="24"/>
              </w:rPr>
            </w:pPr>
            <w:r>
              <w:rPr>
                <w:rFonts w:hint="eastAsia" w:ascii="微软雅黑" w:hAnsi="微软雅黑" w:cs="宋体"/>
                <w:color w:val="000000"/>
                <w:sz w:val="24"/>
                <w:szCs w:val="24"/>
              </w:rPr>
              <w:t>897273757@qq.com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物理与电子工程学院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电子信息及相关专业；汽车、车辆、机械及相关专业；物理、材料及相关专业</w:t>
            </w:r>
          </w:p>
        </w:tc>
        <w:tc>
          <w:tcPr>
            <w:tcW w:w="2062" w:type="dxa"/>
            <w:vAlign w:val="center"/>
          </w:tcPr>
          <w:p>
            <w:pPr>
              <w:spacing w:after="0"/>
              <w:ind w:left="110" w:leftChars="50" w:firstLine="360" w:firstLineChars="150"/>
              <w:rPr>
                <w:rFonts w:ascii="微软雅黑" w:hAnsi="微软雅黑" w:cs="宋体"/>
                <w:color w:val="000000"/>
                <w:sz w:val="24"/>
                <w:szCs w:val="24"/>
              </w:rPr>
            </w:pPr>
            <w:r>
              <w:rPr>
                <w:rFonts w:hint="eastAsia" w:ascii="微软雅黑" w:hAnsi="微软雅黑" w:cs="宋体"/>
                <w:color w:val="000000"/>
                <w:sz w:val="24"/>
                <w:szCs w:val="24"/>
              </w:rPr>
              <w:t>蒋老师18283317265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化学学院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环境工程、制药工程、化学及相关专业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江老师18728811266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生命科学学院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生物化学与分子生物学及相关专业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唐老师</w:t>
            </w:r>
            <w:r>
              <w:rPr>
                <w:rFonts w:hint="eastAsia" w:ascii="微软雅黑" w:hAnsi="微软雅黑" w:cs="宋体"/>
                <w:color w:val="000000"/>
                <w:sz w:val="24"/>
                <w:szCs w:val="24"/>
              </w:rPr>
              <w:br w:type="textWrapping"/>
            </w:r>
            <w:r>
              <w:rPr>
                <w:rFonts w:hint="eastAsia" w:ascii="微软雅黑" w:hAnsi="微软雅黑" w:cs="宋体"/>
                <w:color w:val="000000"/>
                <w:sz w:val="24"/>
                <w:szCs w:val="24"/>
              </w:rPr>
              <w:t>18080635102； tangmei601@hotmail.com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经济与管理学院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经济金融、人力资源管理、会计、工程造价及相关专业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邓老师13980278583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旅游学院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人文地理学、自然地理学、地图学与地理信息系统、城乡规划学及相关专业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徐老师18080667850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计算机科学学院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计算机相关专业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谢老师18990602576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教育科学学院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教育学、心理学及相关专业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谢老师15984395601、 2500471502@qq.com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特殊教育学院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教育学、心理学及相关专业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汪老师13408339131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体育学院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体育学、教育学（体育方向）及相关专业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王老师13981333908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2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美术学院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美术学、设计学及相关专业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李老师13881336626、 346877366@qq.com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trPr>
        <w:tc>
          <w:tcPr>
            <w:tcW w:w="1426" w:type="dxa"/>
            <w:vAlign w:val="center"/>
          </w:tcPr>
          <w:p>
            <w:pPr>
              <w:spacing w:after="0"/>
              <w:ind w:firstLine="120" w:firstLineChars="50"/>
              <w:rPr>
                <w:rFonts w:ascii="微软雅黑" w:hAnsi="微软雅黑" w:cs="宋体"/>
                <w:color w:val="000000"/>
                <w:sz w:val="24"/>
                <w:szCs w:val="24"/>
              </w:rPr>
            </w:pPr>
            <w:r>
              <w:rPr>
                <w:rFonts w:hint="eastAsia" w:ascii="微软雅黑" w:hAnsi="微软雅黑" w:cs="宋体"/>
                <w:color w:val="000000"/>
                <w:sz w:val="24"/>
                <w:szCs w:val="24"/>
              </w:rPr>
              <w:t>音乐学院</w:t>
            </w:r>
          </w:p>
        </w:tc>
        <w:tc>
          <w:tcPr>
            <w:tcW w:w="1136"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教学科研</w:t>
            </w:r>
          </w:p>
        </w:tc>
        <w:tc>
          <w:tcPr>
            <w:tcW w:w="807" w:type="dxa"/>
            <w:vAlign w:val="center"/>
          </w:tcPr>
          <w:p>
            <w:pPr>
              <w:spacing w:after="0"/>
              <w:jc w:val="center"/>
              <w:rPr>
                <w:rFonts w:ascii="微软雅黑" w:hAnsi="微软雅黑" w:cs="宋体"/>
                <w:color w:val="000000"/>
                <w:sz w:val="24"/>
                <w:szCs w:val="24"/>
              </w:rPr>
            </w:pPr>
            <w:r>
              <w:rPr>
                <w:rFonts w:hint="eastAsia" w:ascii="微软雅黑" w:hAnsi="微软雅黑" w:cs="宋体"/>
                <w:color w:val="000000"/>
                <w:sz w:val="24"/>
                <w:szCs w:val="24"/>
              </w:rPr>
              <w:t>博士</w:t>
            </w:r>
          </w:p>
        </w:tc>
        <w:tc>
          <w:tcPr>
            <w:tcW w:w="3715" w:type="dxa"/>
            <w:vAlign w:val="center"/>
          </w:tcPr>
          <w:p>
            <w:pPr>
              <w:spacing w:after="0"/>
              <w:ind w:firstLine="360" w:firstLineChars="150"/>
              <w:jc w:val="center"/>
              <w:rPr>
                <w:rFonts w:ascii="微软雅黑" w:hAnsi="微软雅黑" w:cs="宋体"/>
                <w:color w:val="000000"/>
                <w:sz w:val="24"/>
                <w:szCs w:val="24"/>
              </w:rPr>
            </w:pPr>
            <w:r>
              <w:rPr>
                <w:rFonts w:hint="eastAsia" w:ascii="微软雅黑" w:hAnsi="微软雅黑" w:cs="宋体"/>
                <w:color w:val="000000"/>
                <w:sz w:val="24"/>
                <w:szCs w:val="24"/>
              </w:rPr>
              <w:t>音乐表演及相关专业</w:t>
            </w:r>
          </w:p>
        </w:tc>
        <w:tc>
          <w:tcPr>
            <w:tcW w:w="2062" w:type="dxa"/>
            <w:vAlign w:val="center"/>
          </w:tcPr>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周老师18981387691</w:t>
            </w:r>
          </w:p>
        </w:tc>
      </w:tr>
    </w:tbl>
    <w:p>
      <w:pPr>
        <w:spacing w:after="0"/>
        <w:ind w:firstLine="360" w:firstLineChars="150"/>
        <w:rPr>
          <w:rFonts w:ascii="微软雅黑" w:hAnsi="微软雅黑" w:cs="宋体"/>
          <w:color w:val="000000"/>
          <w:sz w:val="24"/>
          <w:szCs w:val="24"/>
        </w:rPr>
      </w:pPr>
      <w:r>
        <w:rPr>
          <w:rFonts w:hint="eastAsia" w:ascii="微软雅黑" w:hAnsi="微软雅黑" w:cs="宋体"/>
          <w:color w:val="000000"/>
          <w:sz w:val="24"/>
          <w:szCs w:val="24"/>
        </w:rPr>
        <w:t> </w:t>
      </w:r>
    </w:p>
    <w:p>
      <w:pPr>
        <w:spacing w:after="0"/>
        <w:ind w:firstLine="360" w:firstLineChars="150"/>
        <w:rPr>
          <w:rFonts w:ascii="微软雅黑" w:hAnsi="微软雅黑" w:cs="宋体"/>
          <w:color w:val="000000"/>
          <w:sz w:val="24"/>
          <w:szCs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6BC75"/>
    <w:multiLevelType w:val="singleLevel"/>
    <w:tmpl w:val="4356BC7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844BE"/>
    <w:rsid w:val="000A509C"/>
    <w:rsid w:val="000C4488"/>
    <w:rsid w:val="000F25B3"/>
    <w:rsid w:val="000F37F5"/>
    <w:rsid w:val="00126E1F"/>
    <w:rsid w:val="00197EFA"/>
    <w:rsid w:val="001A5485"/>
    <w:rsid w:val="001C7B5C"/>
    <w:rsid w:val="00206A67"/>
    <w:rsid w:val="00213A0F"/>
    <w:rsid w:val="00213AF5"/>
    <w:rsid w:val="00216599"/>
    <w:rsid w:val="00304797"/>
    <w:rsid w:val="00323B43"/>
    <w:rsid w:val="0035037B"/>
    <w:rsid w:val="00350B2E"/>
    <w:rsid w:val="00375F7D"/>
    <w:rsid w:val="003B39DD"/>
    <w:rsid w:val="003D37D8"/>
    <w:rsid w:val="003F1CF4"/>
    <w:rsid w:val="00426133"/>
    <w:rsid w:val="004358AB"/>
    <w:rsid w:val="0044275E"/>
    <w:rsid w:val="00473BD9"/>
    <w:rsid w:val="004D6F07"/>
    <w:rsid w:val="005176E1"/>
    <w:rsid w:val="00546AF2"/>
    <w:rsid w:val="005A2DD0"/>
    <w:rsid w:val="005B026D"/>
    <w:rsid w:val="00617977"/>
    <w:rsid w:val="0068151C"/>
    <w:rsid w:val="006958D2"/>
    <w:rsid w:val="00710D3D"/>
    <w:rsid w:val="00715FA6"/>
    <w:rsid w:val="0075105E"/>
    <w:rsid w:val="00760F84"/>
    <w:rsid w:val="0077500F"/>
    <w:rsid w:val="00775614"/>
    <w:rsid w:val="007A6171"/>
    <w:rsid w:val="007B6F5C"/>
    <w:rsid w:val="007E07FB"/>
    <w:rsid w:val="0085589F"/>
    <w:rsid w:val="00873DF7"/>
    <w:rsid w:val="008B7726"/>
    <w:rsid w:val="009105AF"/>
    <w:rsid w:val="00943BB5"/>
    <w:rsid w:val="00981932"/>
    <w:rsid w:val="0099710B"/>
    <w:rsid w:val="009D39DD"/>
    <w:rsid w:val="00A91E3D"/>
    <w:rsid w:val="00A95995"/>
    <w:rsid w:val="00AE3378"/>
    <w:rsid w:val="00B42D4B"/>
    <w:rsid w:val="00C874DE"/>
    <w:rsid w:val="00D31D50"/>
    <w:rsid w:val="00D32ACB"/>
    <w:rsid w:val="00D645FC"/>
    <w:rsid w:val="00D83DBB"/>
    <w:rsid w:val="00D957D1"/>
    <w:rsid w:val="00E25DFE"/>
    <w:rsid w:val="00E51316"/>
    <w:rsid w:val="00F07C6D"/>
    <w:rsid w:val="00F150E2"/>
    <w:rsid w:val="00F76122"/>
    <w:rsid w:val="00FD6A75"/>
    <w:rsid w:val="00FE2F36"/>
    <w:rsid w:val="091C4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pPr>
      <w:spacing w:after="0"/>
    </w:pPr>
    <w:rPr>
      <w:sz w:val="18"/>
      <w:szCs w:val="18"/>
    </w:rPr>
  </w:style>
  <w:style w:type="paragraph" w:styleId="3">
    <w:name w:val="footer"/>
    <w:basedOn w:val="1"/>
    <w:link w:val="15"/>
    <w:semiHidden/>
    <w:unhideWhenUsed/>
    <w:qFormat/>
    <w:uiPriority w:val="99"/>
    <w:pPr>
      <w:tabs>
        <w:tab w:val="center" w:pos="4153"/>
        <w:tab w:val="right" w:pos="8306"/>
      </w:tabs>
    </w:pPr>
    <w:rPr>
      <w:sz w:val="18"/>
      <w:szCs w:val="18"/>
    </w:rPr>
  </w:style>
  <w:style w:type="paragraph" w:styleId="4">
    <w:name w:val="header"/>
    <w:basedOn w:val="1"/>
    <w:link w:val="14"/>
    <w:semiHidden/>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apple-converted-space"/>
    <w:basedOn w:val="8"/>
    <w:qFormat/>
    <w:uiPriority w:val="0"/>
  </w:style>
  <w:style w:type="character" w:customStyle="1" w:styleId="12">
    <w:name w:val="批注框文本 Char"/>
    <w:basedOn w:val="8"/>
    <w:link w:val="2"/>
    <w:semiHidden/>
    <w:qFormat/>
    <w:uiPriority w:val="99"/>
    <w:rPr>
      <w:rFonts w:ascii="Tahoma" w:hAnsi="Tahoma"/>
      <w:sz w:val="18"/>
      <w:szCs w:val="18"/>
    </w:rPr>
  </w:style>
  <w:style w:type="paragraph" w:customStyle="1" w:styleId="13">
    <w:name w:val="default"/>
    <w:basedOn w:val="1"/>
    <w:qFormat/>
    <w:uiPriority w:val="0"/>
    <w:pPr>
      <w:adjustRightInd/>
      <w:snapToGrid/>
      <w:spacing w:before="100" w:beforeAutospacing="1" w:after="100" w:afterAutospacing="1"/>
    </w:pPr>
    <w:rPr>
      <w:rFonts w:ascii="宋体" w:hAnsi="宋体" w:eastAsia="宋体" w:cs="宋体"/>
      <w:sz w:val="24"/>
      <w:szCs w:val="24"/>
    </w:rPr>
  </w:style>
  <w:style w:type="character" w:customStyle="1" w:styleId="14">
    <w:name w:val="页眉 Char"/>
    <w:basedOn w:val="8"/>
    <w:link w:val="4"/>
    <w:semiHidden/>
    <w:qFormat/>
    <w:uiPriority w:val="99"/>
    <w:rPr>
      <w:rFonts w:ascii="Tahoma" w:hAnsi="Tahoma"/>
      <w:sz w:val="18"/>
      <w:szCs w:val="18"/>
    </w:rPr>
  </w:style>
  <w:style w:type="character" w:customStyle="1" w:styleId="15">
    <w:name w:val="页脚 Char"/>
    <w:basedOn w:val="8"/>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EA2454-A6D4-43F2-B97F-CD2BEA03BEE0}">
  <ds:schemaRefs/>
</ds:datastoreItem>
</file>

<file path=docProps/app.xml><?xml version="1.0" encoding="utf-8"?>
<Properties xmlns="http://schemas.openxmlformats.org/officeDocument/2006/extended-properties" xmlns:vt="http://schemas.openxmlformats.org/officeDocument/2006/docPropsVTypes">
  <Template>Normal</Template>
  <Pages>5</Pages>
  <Words>704</Words>
  <Characters>4013</Characters>
  <Lines>33</Lines>
  <Paragraphs>9</Paragraphs>
  <TotalTime>136</TotalTime>
  <ScaleCrop>false</ScaleCrop>
  <LinksUpToDate>false</LinksUpToDate>
  <CharactersWithSpaces>4708</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黄杨</cp:lastModifiedBy>
  <cp:lastPrinted>2019-02-22T00:56:00Z</cp:lastPrinted>
  <dcterms:modified xsi:type="dcterms:W3CDTF">2019-03-22T07:20:12Z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