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hd w:val="clear" w:color="auto" w:fill="FFFFFF"/>
        <w:spacing w:before="0" w:beforeAutospacing="0" w:after="0" w:afterAutospacing="0"/>
        <w:rPr>
          <w:rFonts w:ascii="Microsoft YaHei UI" w:hAnsi="Microsoft YaHei UI" w:eastAsia="Microsoft YaHei UI"/>
          <w:b/>
          <w:color w:val="000000"/>
          <w:sz w:val="21"/>
          <w:szCs w:val="21"/>
        </w:rPr>
      </w:pPr>
      <w:r>
        <w:drawing>
          <wp:inline distT="0" distB="0" distL="0" distR="0">
            <wp:extent cx="2054860" cy="6858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065935" cy="689474"/>
                    </a:xfrm>
                    <a:prstGeom prst="rect">
                      <a:avLst/>
                    </a:prstGeom>
                  </pic:spPr>
                </pic:pic>
              </a:graphicData>
            </a:graphic>
          </wp:inline>
        </w:drawing>
      </w:r>
      <w:r>
        <w:rPr>
          <w:rFonts w:ascii="Microsoft YaHei UI" w:hAnsi="Microsoft YaHei UI" w:eastAsia="Microsoft YaHei UI"/>
          <w:b/>
          <w:color w:val="000000"/>
          <w:sz w:val="21"/>
          <w:szCs w:val="21"/>
        </w:rPr>
        <w:tab/>
      </w:r>
      <w:r>
        <w:rPr>
          <w:rFonts w:hint="eastAsia" w:ascii="Microsoft YaHei UI" w:hAnsi="Microsoft YaHei UI" w:eastAsia="Microsoft YaHei UI"/>
          <w:b/>
          <w:color w:val="000000"/>
          <w:sz w:val="21"/>
          <w:szCs w:val="21"/>
        </w:rPr>
        <w:t>武汉格罗夫氢能汽车有限公司招聘简章</w:t>
      </w:r>
    </w:p>
    <w:p>
      <w:pPr>
        <w:pStyle w:val="7"/>
        <w:shd w:val="clear" w:color="auto" w:fill="FFFFFF"/>
        <w:spacing w:before="0" w:beforeAutospacing="0" w:after="0" w:afterAutospacing="0"/>
        <w:jc w:val="both"/>
        <w:rPr>
          <w:rFonts w:ascii="Microsoft YaHei UI" w:hAnsi="Microsoft YaHei UI" w:eastAsia="Microsoft YaHei UI"/>
          <w:b/>
          <w:color w:val="000000"/>
          <w:sz w:val="21"/>
          <w:szCs w:val="21"/>
        </w:rPr>
      </w:pPr>
      <w:r>
        <w:rPr>
          <w:rFonts w:hint="eastAsia" w:ascii="Microsoft YaHei UI" w:hAnsi="Microsoft YaHei UI" w:eastAsia="Microsoft YaHei UI"/>
          <w:b/>
          <w:color w:val="000000"/>
          <w:sz w:val="21"/>
          <w:szCs w:val="21"/>
        </w:rPr>
        <w:t>一、 公司简介：</w:t>
      </w:r>
    </w:p>
    <w:p>
      <w:pPr>
        <w:pStyle w:val="8"/>
        <w:shd w:val="clear" w:color="auto" w:fill="FFFFFF"/>
        <w:spacing w:before="0" w:beforeAutospacing="0" w:after="0" w:afterAutospacing="0"/>
        <w:ind w:firstLine="630" w:firstLineChars="300"/>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武汉格罗夫氢能汽车有限公司（以下简称“格罗夫”或“iGrove”）是IGE面向全球整合氢能汽车产业战略性创新资源组建的专业的氢能乘用车公司。格罗夫倾力打造具有自主知识产权、纯氢动力、全新用户体验的氢能乘用车，开发的系统创新氢能汽车产品，百公里能耗和续航里程全球领先。</w:t>
      </w:r>
    </w:p>
    <w:p>
      <w:pPr>
        <w:pStyle w:val="8"/>
        <w:shd w:val="clear" w:color="auto" w:fill="FFFFFF"/>
        <w:spacing w:before="0" w:beforeAutospacing="0" w:after="0" w:afterAutospacing="0"/>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格罗夫面向全球开放式集成创新，氢能乘用车技术具有全球领先的竞争力。不同于传统 OEM 模式里在现有车体上换氢燃料电池发动机的做法，格罗夫全新高效原创设计使车辆更轻，并使能量利用效率最大化。格罗夫氢能乘用车正在研发的量产车型，百公里能耗和续航里程两项指标具有全球领先水平。</w:t>
      </w:r>
    </w:p>
    <w:p>
      <w:pPr>
        <w:pStyle w:val="8"/>
        <w:shd w:val="clear" w:color="auto" w:fill="FFFFFF"/>
        <w:spacing w:before="0" w:beforeAutospacing="0" w:after="0" w:afterAutospacing="0"/>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格罗夫组建了全球化的产品研发团队，引进了一大批具有保时捷、福特、奔驰、宝马等国际和国内知名车企多年工作经验和技术积累的国际化人才，涵盖新能源整车各领域技术专家，目前已形成武汉、伦敦、巴塞罗那的全球化的研发网络布局，将在2020年开始推出量产车型。</w:t>
      </w:r>
    </w:p>
    <w:p>
      <w:pPr>
        <w:pStyle w:val="8"/>
        <w:shd w:val="clear" w:color="auto" w:fill="FFFFFF"/>
        <w:spacing w:before="0" w:beforeAutospacing="0" w:after="0" w:afterAutospacing="0"/>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格罗夫以全球化的视野，着力打造比其它新能源汽车更高效、更先进、更环保的出行方式，致力于成为氢能时代全球领袖级氢能乘用车企业。</w:t>
      </w:r>
    </w:p>
    <w:p>
      <w:pPr>
        <w:pStyle w:val="8"/>
        <w:shd w:val="clear" w:color="auto" w:fill="FFFFFF"/>
        <w:spacing w:before="0" w:beforeAutospacing="0" w:after="0" w:afterAutospacing="0"/>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IGE即武汉地质资源环境工业技术研究院有限公司，是武汉市和中国地质大学（武汉）联合创建的科技成果转化、战略产业培育的科技创新发展平台，目前正聚焦氢能源战略产业培育，整合全球战略性创新资源，以氢能汽车为核心推动氢能源产业的创新发展。</w:t>
      </w:r>
    </w:p>
    <w:p>
      <w:pPr>
        <w:pStyle w:val="8"/>
        <w:shd w:val="clear" w:color="auto" w:fill="FFFFFF"/>
        <w:spacing w:before="0" w:beforeAutospacing="0" w:after="0" w:afterAutospacing="0"/>
        <w:rPr>
          <w:rFonts w:ascii="Microsoft YaHei UI" w:hAnsi="Microsoft YaHei UI" w:eastAsia="Microsoft YaHei UI"/>
          <w:b/>
          <w:color w:val="000000"/>
          <w:sz w:val="21"/>
          <w:szCs w:val="21"/>
        </w:rPr>
      </w:pPr>
      <w:r>
        <w:rPr>
          <w:rFonts w:hint="eastAsia" w:ascii="Microsoft YaHei UI" w:hAnsi="Microsoft YaHei UI" w:eastAsia="Microsoft YaHei UI"/>
          <w:b/>
          <w:color w:val="000000"/>
          <w:sz w:val="21"/>
          <w:szCs w:val="21"/>
        </w:rPr>
        <w:t>二、简</w:t>
      </w:r>
      <w:r>
        <w:rPr>
          <w:rFonts w:ascii="Microsoft YaHei UI" w:hAnsi="Microsoft YaHei UI" w:eastAsia="Microsoft YaHei UI"/>
          <w:b/>
          <w:color w:val="000000"/>
          <w:sz w:val="21"/>
          <w:szCs w:val="21"/>
        </w:rPr>
        <w:t>历投递与联系方式</w:t>
      </w:r>
    </w:p>
    <w:p>
      <w:pPr>
        <w:pStyle w:val="8"/>
        <w:shd w:val="clear" w:color="auto" w:fill="FFFFFF"/>
        <w:spacing w:before="0" w:beforeAutospacing="0" w:after="0" w:afterAutospacing="0"/>
        <w:rPr>
          <w:rFonts w:hint="eastAsia" w:ascii="Microsoft YaHei UI" w:hAnsi="Microsoft YaHei UI" w:eastAsia="Microsoft YaHei UI"/>
          <w:color w:val="000000"/>
          <w:sz w:val="21"/>
          <w:szCs w:val="21"/>
          <w:lang w:val="en-US" w:eastAsia="zh-CN"/>
        </w:rPr>
      </w:pPr>
      <w:r>
        <w:rPr>
          <w:rFonts w:hint="eastAsia" w:ascii="Microsoft YaHei UI" w:hAnsi="Microsoft YaHei UI" w:eastAsia="Microsoft YaHei UI"/>
          <w:b/>
          <w:color w:val="000000"/>
          <w:sz w:val="21"/>
          <w:szCs w:val="21"/>
        </w:rPr>
        <w:t>简历投递邮箱：</w:t>
      </w:r>
      <w:r>
        <w:rPr>
          <w:rFonts w:hint="eastAsia" w:ascii="Microsoft YaHei UI" w:hAnsi="Microsoft YaHei UI" w:eastAsia="Microsoft YaHei UI"/>
          <w:b/>
          <w:color w:val="000000"/>
          <w:sz w:val="21"/>
          <w:szCs w:val="21"/>
          <w:lang w:val="en-US" w:eastAsia="zh-CN"/>
        </w:rPr>
        <w:fldChar w:fldCharType="begin"/>
      </w:r>
      <w:r>
        <w:rPr>
          <w:rFonts w:hint="eastAsia" w:ascii="Microsoft YaHei UI" w:hAnsi="Microsoft YaHei UI" w:eastAsia="Microsoft YaHei UI"/>
          <w:b/>
          <w:color w:val="000000"/>
          <w:sz w:val="21"/>
          <w:szCs w:val="21"/>
          <w:lang w:val="en-US" w:eastAsia="zh-CN"/>
        </w:rPr>
        <w:instrText xml:space="preserve"> HYPERLINK "mailto:3130525832@qq.com" </w:instrText>
      </w:r>
      <w:r>
        <w:rPr>
          <w:rFonts w:hint="eastAsia" w:ascii="Microsoft YaHei UI" w:hAnsi="Microsoft YaHei UI" w:eastAsia="Microsoft YaHei UI"/>
          <w:b/>
          <w:color w:val="000000"/>
          <w:sz w:val="21"/>
          <w:szCs w:val="21"/>
          <w:lang w:val="en-US" w:eastAsia="zh-CN"/>
        </w:rPr>
        <w:fldChar w:fldCharType="separate"/>
      </w:r>
      <w:r>
        <w:rPr>
          <w:rStyle w:val="6"/>
          <w:rFonts w:hint="eastAsia" w:ascii="Microsoft YaHei UI" w:hAnsi="Microsoft YaHei UI" w:eastAsia="Microsoft YaHei UI"/>
          <w:b/>
          <w:color w:val="000000"/>
          <w:sz w:val="21"/>
          <w:szCs w:val="21"/>
          <w:lang w:val="en-US" w:eastAsia="zh-CN"/>
        </w:rPr>
        <w:t>3130525832@qq.com</w:t>
      </w:r>
      <w:r>
        <w:rPr>
          <w:rFonts w:hint="eastAsia" w:ascii="Microsoft YaHei UI" w:hAnsi="Microsoft YaHei UI" w:eastAsia="Microsoft YaHei UI"/>
          <w:b/>
          <w:color w:val="000000"/>
          <w:sz w:val="21"/>
          <w:szCs w:val="21"/>
          <w:lang w:val="en-US" w:eastAsia="zh-CN"/>
        </w:rPr>
        <w:fldChar w:fldCharType="end"/>
      </w:r>
      <w:r>
        <w:rPr>
          <w:rFonts w:hint="eastAsia" w:ascii="Microsoft YaHei UI" w:hAnsi="Microsoft YaHei UI" w:eastAsia="Microsoft YaHei UI"/>
          <w:b/>
          <w:color w:val="000000"/>
          <w:sz w:val="21"/>
          <w:szCs w:val="21"/>
          <w:lang w:val="en-US" w:eastAsia="zh-CN"/>
        </w:rPr>
        <w:t xml:space="preserve"> 格罗夫+专业+岗位+学历（请严格要求投递）</w:t>
      </w:r>
    </w:p>
    <w:p>
      <w:pPr>
        <w:widowControl/>
        <w:shd w:val="clear" w:color="auto" w:fill="FFFFFF"/>
        <w:rPr>
          <w:rFonts w:ascii="Microsoft YaHei UI" w:hAnsi="Microsoft YaHei UI" w:eastAsia="Microsoft YaHei UI" w:cs="宋体"/>
          <w:color w:val="000000"/>
          <w:kern w:val="0"/>
          <w:szCs w:val="21"/>
        </w:rPr>
      </w:pPr>
      <w:r>
        <w:rPr>
          <w:rFonts w:hint="eastAsia" w:ascii="Microsoft YaHei UI" w:hAnsi="Microsoft YaHei UI" w:eastAsia="Microsoft YaHei UI" w:cs="宋体"/>
          <w:b/>
          <w:color w:val="000000"/>
          <w:kern w:val="0"/>
          <w:szCs w:val="21"/>
        </w:rPr>
        <w:t>地点：</w:t>
      </w:r>
      <w:r>
        <w:rPr>
          <w:rFonts w:hint="eastAsia" w:ascii="Microsoft YaHei UI" w:hAnsi="Microsoft YaHei UI" w:eastAsia="Microsoft YaHei UI" w:cs="宋体"/>
          <w:color w:val="000000"/>
          <w:kern w:val="0"/>
          <w:szCs w:val="21"/>
        </w:rPr>
        <w:t>武汉市东湖高新技术开发区高新大道999号未来科技城海外人才大楼B4座4楼</w:t>
      </w:r>
    </w:p>
    <w:p>
      <w:pPr>
        <w:widowControl/>
        <w:shd w:val="clear" w:color="auto" w:fill="FFFFFF"/>
        <w:rPr>
          <w:rFonts w:ascii="Microsoft YaHei UI" w:hAnsi="Microsoft YaHei UI" w:eastAsia="Microsoft YaHei UI" w:cs="宋体"/>
          <w:color w:val="000000"/>
          <w:kern w:val="0"/>
          <w:szCs w:val="21"/>
        </w:rPr>
      </w:pPr>
      <w:r>
        <w:rPr>
          <w:rFonts w:hint="eastAsia" w:ascii="Microsoft YaHei UI" w:hAnsi="Microsoft YaHei UI" w:eastAsia="Microsoft YaHei UI" w:cs="宋体"/>
          <w:b/>
          <w:color w:val="000000"/>
          <w:kern w:val="0"/>
          <w:szCs w:val="21"/>
        </w:rPr>
        <w:t>新园区：</w:t>
      </w:r>
      <w:r>
        <w:rPr>
          <w:rFonts w:hint="eastAsia" w:ascii="Microsoft YaHei UI" w:hAnsi="Microsoft YaHei UI" w:eastAsia="Microsoft YaHei UI" w:cs="宋体"/>
          <w:color w:val="000000"/>
          <w:kern w:val="0"/>
          <w:szCs w:val="21"/>
        </w:rPr>
        <w:t>武汉市东湖新技术开发区未来三路99号 武汉地质资源环境工业技术研究院有限公司</w:t>
      </w:r>
    </w:p>
    <w:p>
      <w:pPr>
        <w:pStyle w:val="8"/>
        <w:shd w:val="clear" w:color="auto" w:fill="FFFFFF"/>
        <w:spacing w:before="0" w:beforeAutospacing="0" w:after="0" w:afterAutospacing="0"/>
        <w:rPr>
          <w:rFonts w:ascii="Microsoft YaHei UI" w:hAnsi="Microsoft YaHei UI" w:eastAsia="Microsoft YaHei UI"/>
          <w:b/>
          <w:color w:val="000000"/>
          <w:sz w:val="21"/>
          <w:szCs w:val="21"/>
        </w:rPr>
      </w:pPr>
      <w:r>
        <w:rPr>
          <w:rFonts w:hint="eastAsia" w:ascii="Microsoft YaHei UI" w:hAnsi="Microsoft YaHei UI" w:eastAsia="Microsoft YaHei UI"/>
          <w:b/>
          <w:color w:val="000000"/>
          <w:sz w:val="21"/>
          <w:szCs w:val="21"/>
        </w:rPr>
        <w:t>三、招聘职位及对口专业</w:t>
      </w:r>
    </w:p>
    <w:tbl>
      <w:tblPr>
        <w:tblStyle w:val="4"/>
        <w:tblW w:w="8900" w:type="dxa"/>
        <w:tblInd w:w="0" w:type="dxa"/>
        <w:tblLayout w:type="fixed"/>
        <w:tblCellMar>
          <w:top w:w="0" w:type="dxa"/>
          <w:left w:w="108" w:type="dxa"/>
          <w:bottom w:w="0" w:type="dxa"/>
          <w:right w:w="108" w:type="dxa"/>
        </w:tblCellMar>
      </w:tblPr>
      <w:tblGrid>
        <w:gridCol w:w="1900"/>
        <w:gridCol w:w="2440"/>
        <w:gridCol w:w="4560"/>
      </w:tblGrid>
      <w:tr>
        <w:tblPrEx>
          <w:tblLayout w:type="fixed"/>
          <w:tblCellMar>
            <w:top w:w="0" w:type="dxa"/>
            <w:left w:w="108" w:type="dxa"/>
            <w:bottom w:w="0" w:type="dxa"/>
            <w:right w:w="108" w:type="dxa"/>
          </w:tblCellMar>
        </w:tblPrEx>
        <w:trPr>
          <w:trHeight w:val="810" w:hRule="atLeast"/>
        </w:trPr>
        <w:tc>
          <w:tcPr>
            <w:tcW w:w="19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新宋体" w:hAnsi="新宋体" w:eastAsia="新宋体" w:cs="宋体"/>
                <w:color w:val="000000"/>
                <w:kern w:val="0"/>
                <w:sz w:val="22"/>
              </w:rPr>
            </w:pPr>
            <w:r>
              <w:rPr>
                <w:rFonts w:hint="eastAsia" w:ascii="新宋体" w:hAnsi="新宋体" w:eastAsia="新宋体" w:cs="宋体"/>
                <w:color w:val="000000"/>
                <w:kern w:val="0"/>
                <w:sz w:val="22"/>
              </w:rPr>
              <w:t>岗位类型</w:t>
            </w:r>
          </w:p>
        </w:tc>
        <w:tc>
          <w:tcPr>
            <w:tcW w:w="244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新宋体" w:hAnsi="新宋体" w:eastAsia="新宋体" w:cs="宋体"/>
                <w:color w:val="000000"/>
                <w:kern w:val="0"/>
                <w:sz w:val="22"/>
              </w:rPr>
            </w:pPr>
            <w:r>
              <w:rPr>
                <w:rFonts w:hint="eastAsia" w:ascii="新宋体" w:hAnsi="新宋体" w:eastAsia="新宋体" w:cs="宋体"/>
                <w:color w:val="000000"/>
                <w:kern w:val="0"/>
                <w:sz w:val="22"/>
              </w:rPr>
              <w:t>对应部门</w:t>
            </w:r>
          </w:p>
        </w:tc>
        <w:tc>
          <w:tcPr>
            <w:tcW w:w="45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新宋体" w:hAnsi="新宋体" w:eastAsia="新宋体" w:cs="宋体"/>
                <w:color w:val="000000"/>
                <w:kern w:val="0"/>
                <w:sz w:val="22"/>
              </w:rPr>
            </w:pPr>
            <w:r>
              <w:rPr>
                <w:rFonts w:hint="eastAsia" w:ascii="新宋体" w:hAnsi="新宋体" w:eastAsia="新宋体" w:cs="宋体"/>
                <w:color w:val="000000"/>
                <w:kern w:val="0"/>
                <w:sz w:val="22"/>
              </w:rPr>
              <w:t>对口专业</w:t>
            </w:r>
          </w:p>
        </w:tc>
      </w:tr>
      <w:tr>
        <w:tblPrEx>
          <w:tblLayout w:type="fixed"/>
          <w:tblCellMar>
            <w:top w:w="0" w:type="dxa"/>
            <w:left w:w="108" w:type="dxa"/>
            <w:bottom w:w="0" w:type="dxa"/>
            <w:right w:w="108" w:type="dxa"/>
          </w:tblCellMar>
        </w:tblPrEx>
        <w:trPr>
          <w:trHeight w:val="810" w:hRule="atLeast"/>
        </w:trPr>
        <w:tc>
          <w:tcPr>
            <w:tcW w:w="1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新宋体" w:hAnsi="新宋体" w:eastAsia="新宋体" w:cs="宋体"/>
                <w:color w:val="000000"/>
                <w:kern w:val="0"/>
                <w:sz w:val="22"/>
              </w:rPr>
            </w:pPr>
            <w:r>
              <w:rPr>
                <w:rFonts w:hint="eastAsia" w:ascii="新宋体" w:hAnsi="新宋体" w:eastAsia="新宋体" w:cs="宋体"/>
                <w:color w:val="000000"/>
                <w:kern w:val="0"/>
                <w:sz w:val="22"/>
              </w:rPr>
              <w:t>研发类</w:t>
            </w:r>
          </w:p>
        </w:tc>
        <w:tc>
          <w:tcPr>
            <w:tcW w:w="2440" w:type="dxa"/>
            <w:tcBorders>
              <w:top w:val="nil"/>
              <w:left w:val="nil"/>
              <w:bottom w:val="single" w:color="auto" w:sz="4" w:space="0"/>
              <w:right w:val="single" w:color="auto" w:sz="4" w:space="0"/>
            </w:tcBorders>
            <w:shd w:val="clear" w:color="auto" w:fill="auto"/>
            <w:vAlign w:val="center"/>
          </w:tcPr>
          <w:p>
            <w:pPr>
              <w:widowControl/>
              <w:jc w:val="center"/>
              <w:rPr>
                <w:rFonts w:ascii="新宋体" w:hAnsi="新宋体" w:eastAsia="新宋体" w:cs="宋体"/>
                <w:color w:val="000000"/>
                <w:kern w:val="0"/>
                <w:sz w:val="22"/>
              </w:rPr>
            </w:pPr>
            <w:r>
              <w:rPr>
                <w:rFonts w:hint="eastAsia" w:ascii="新宋体" w:hAnsi="新宋体" w:eastAsia="新宋体" w:cs="宋体"/>
                <w:color w:val="000000"/>
                <w:kern w:val="0"/>
                <w:sz w:val="22"/>
              </w:rPr>
              <w:t>整车研发、动力研发、造型研发序列、零部件研发</w:t>
            </w:r>
          </w:p>
        </w:tc>
        <w:tc>
          <w:tcPr>
            <w:tcW w:w="4560" w:type="dxa"/>
            <w:tcBorders>
              <w:top w:val="nil"/>
              <w:left w:val="nil"/>
              <w:bottom w:val="single" w:color="auto" w:sz="4" w:space="0"/>
              <w:right w:val="single" w:color="auto" w:sz="4" w:space="0"/>
            </w:tcBorders>
            <w:shd w:val="clear" w:color="auto" w:fill="auto"/>
            <w:vAlign w:val="center"/>
          </w:tcPr>
          <w:p>
            <w:pPr>
              <w:widowControl/>
              <w:jc w:val="center"/>
              <w:rPr>
                <w:rFonts w:hint="eastAsia" w:ascii="新宋体" w:hAnsi="新宋体" w:eastAsia="新宋体" w:cs="宋体"/>
                <w:color w:val="000000"/>
                <w:kern w:val="0"/>
                <w:sz w:val="22"/>
                <w:lang w:eastAsia="zh-CN"/>
              </w:rPr>
            </w:pPr>
            <w:r>
              <w:rPr>
                <w:rFonts w:hint="eastAsia" w:ascii="新宋体" w:hAnsi="新宋体" w:eastAsia="新宋体" w:cs="宋体"/>
                <w:color w:val="000000"/>
                <w:kern w:val="0"/>
                <w:sz w:val="22"/>
              </w:rPr>
              <w:t>车辆工程、机电、发动机、电气自动化、新能源、材料成型、模具、工业设计</w:t>
            </w:r>
            <w:r>
              <w:rPr>
                <w:rFonts w:hint="eastAsia" w:ascii="新宋体" w:hAnsi="新宋体" w:eastAsia="新宋体" w:cs="宋体"/>
                <w:color w:val="000000"/>
                <w:kern w:val="0"/>
                <w:sz w:val="22"/>
                <w:lang w:eastAsia="zh-CN"/>
              </w:rPr>
              <w:t>、机械工程、控制科学与工程（自动化）、汽车工程、材料科学与工程</w:t>
            </w:r>
          </w:p>
        </w:tc>
      </w:tr>
      <w:tr>
        <w:tblPrEx>
          <w:tblLayout w:type="fixed"/>
          <w:tblCellMar>
            <w:top w:w="0" w:type="dxa"/>
            <w:left w:w="108" w:type="dxa"/>
            <w:bottom w:w="0" w:type="dxa"/>
            <w:right w:w="108" w:type="dxa"/>
          </w:tblCellMar>
        </w:tblPrEx>
        <w:trPr>
          <w:trHeight w:val="810" w:hRule="atLeast"/>
        </w:trPr>
        <w:tc>
          <w:tcPr>
            <w:tcW w:w="1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新宋体" w:hAnsi="新宋体" w:eastAsia="新宋体" w:cs="宋体"/>
                <w:color w:val="000000"/>
                <w:kern w:val="0"/>
                <w:sz w:val="22"/>
                <w:lang w:val="en-US" w:eastAsia="zh-CN"/>
              </w:rPr>
            </w:pPr>
            <w:r>
              <w:rPr>
                <w:rFonts w:hint="eastAsia" w:ascii="新宋体" w:hAnsi="新宋体" w:eastAsia="新宋体" w:cs="宋体"/>
                <w:color w:val="000000"/>
                <w:kern w:val="0"/>
                <w:sz w:val="22"/>
                <w:lang w:val="en-US" w:eastAsia="zh-CN"/>
              </w:rPr>
              <w:t>非研发类</w:t>
            </w:r>
          </w:p>
        </w:tc>
        <w:tc>
          <w:tcPr>
            <w:tcW w:w="24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新宋体" w:hAnsi="新宋体" w:eastAsia="新宋体" w:cs="宋体"/>
                <w:color w:val="000000"/>
                <w:kern w:val="0"/>
                <w:sz w:val="22"/>
                <w:lang w:val="en-US" w:eastAsia="zh-CN"/>
              </w:rPr>
            </w:pPr>
            <w:r>
              <w:rPr>
                <w:rFonts w:hint="eastAsia" w:ascii="新宋体" w:hAnsi="新宋体" w:eastAsia="新宋体" w:cs="宋体"/>
                <w:color w:val="000000"/>
                <w:kern w:val="0"/>
                <w:sz w:val="22"/>
                <w:lang w:val="en-US" w:eastAsia="zh-CN"/>
              </w:rPr>
              <w:t>人力资源部/财务部/法务部/市场营销部等</w:t>
            </w:r>
          </w:p>
        </w:tc>
        <w:tc>
          <w:tcPr>
            <w:tcW w:w="4560" w:type="dxa"/>
            <w:tcBorders>
              <w:top w:val="nil"/>
              <w:left w:val="nil"/>
              <w:bottom w:val="single" w:color="auto" w:sz="4" w:space="0"/>
              <w:right w:val="single" w:color="auto" w:sz="4" w:space="0"/>
            </w:tcBorders>
            <w:shd w:val="clear" w:color="auto" w:fill="auto"/>
            <w:vAlign w:val="center"/>
          </w:tcPr>
          <w:p>
            <w:pPr>
              <w:widowControl/>
              <w:jc w:val="center"/>
              <w:rPr>
                <w:rFonts w:hint="default" w:ascii="新宋体" w:hAnsi="新宋体" w:eastAsia="新宋体" w:cs="宋体"/>
                <w:color w:val="000000"/>
                <w:kern w:val="0"/>
                <w:sz w:val="22"/>
                <w:lang w:val="en-US" w:eastAsia="zh-CN"/>
              </w:rPr>
            </w:pPr>
            <w:r>
              <w:rPr>
                <w:rFonts w:hint="eastAsia" w:ascii="新宋体" w:hAnsi="新宋体" w:eastAsia="新宋体" w:cs="宋体"/>
                <w:color w:val="000000"/>
                <w:kern w:val="0"/>
                <w:sz w:val="22"/>
              </w:rPr>
              <w:t>人力资源、心理学、</w:t>
            </w:r>
            <w:r>
              <w:rPr>
                <w:rFonts w:hint="eastAsia" w:ascii="新宋体" w:hAnsi="新宋体" w:eastAsia="新宋体" w:cs="宋体"/>
                <w:color w:val="000000"/>
                <w:kern w:val="0"/>
                <w:sz w:val="22"/>
                <w:lang w:val="en-US" w:eastAsia="zh-CN"/>
              </w:rPr>
              <w:t>工商管理、市场营销、    国际贸易、</w:t>
            </w:r>
            <w:r>
              <w:rPr>
                <w:rFonts w:hint="eastAsia" w:ascii="新宋体" w:hAnsi="新宋体" w:eastAsia="新宋体" w:cs="宋体"/>
                <w:color w:val="000000"/>
                <w:kern w:val="0"/>
                <w:sz w:val="22"/>
              </w:rPr>
              <w:t>新闻</w:t>
            </w:r>
            <w:r>
              <w:rPr>
                <w:rFonts w:hint="eastAsia" w:ascii="新宋体" w:hAnsi="新宋体" w:eastAsia="新宋体" w:cs="宋体"/>
                <w:color w:val="000000"/>
                <w:kern w:val="0"/>
                <w:sz w:val="22"/>
                <w:lang w:val="en-US" w:eastAsia="zh-CN"/>
              </w:rPr>
              <w:t>学</w:t>
            </w:r>
            <w:r>
              <w:rPr>
                <w:rFonts w:hint="eastAsia" w:ascii="新宋体" w:hAnsi="新宋体" w:eastAsia="新宋体" w:cs="宋体"/>
                <w:color w:val="000000"/>
                <w:kern w:val="0"/>
                <w:sz w:val="22"/>
              </w:rPr>
              <w:t>、传播学</w:t>
            </w:r>
            <w:r>
              <w:rPr>
                <w:rFonts w:hint="eastAsia" w:ascii="新宋体" w:hAnsi="新宋体" w:eastAsia="新宋体" w:cs="宋体"/>
                <w:color w:val="000000"/>
                <w:kern w:val="0"/>
                <w:sz w:val="22"/>
                <w:lang w:eastAsia="zh-CN"/>
              </w:rPr>
              <w:t>、</w:t>
            </w:r>
            <w:r>
              <w:rPr>
                <w:rFonts w:hint="eastAsia" w:ascii="新宋体" w:hAnsi="新宋体" w:eastAsia="新宋体" w:cs="宋体"/>
                <w:color w:val="000000"/>
                <w:kern w:val="0"/>
                <w:sz w:val="22"/>
              </w:rPr>
              <w:t>财务管理、会计、金融、统计</w:t>
            </w:r>
            <w:r>
              <w:rPr>
                <w:rFonts w:hint="eastAsia" w:ascii="新宋体" w:hAnsi="新宋体" w:eastAsia="新宋体" w:cs="宋体"/>
                <w:color w:val="000000"/>
                <w:kern w:val="0"/>
                <w:sz w:val="22"/>
                <w:lang w:val="en-US" w:eastAsia="zh-CN"/>
              </w:rPr>
              <w:t>学</w:t>
            </w:r>
            <w:r>
              <w:rPr>
                <w:rFonts w:hint="eastAsia" w:ascii="新宋体" w:hAnsi="新宋体" w:eastAsia="新宋体" w:cs="宋体"/>
                <w:color w:val="000000"/>
                <w:kern w:val="0"/>
                <w:sz w:val="22"/>
              </w:rPr>
              <w:t>、</w:t>
            </w:r>
            <w:r>
              <w:rPr>
                <w:rFonts w:hint="eastAsia" w:ascii="新宋体" w:hAnsi="新宋体" w:eastAsia="新宋体" w:cs="宋体"/>
                <w:color w:val="000000"/>
                <w:kern w:val="0"/>
                <w:sz w:val="22"/>
                <w:lang w:val="en-US" w:eastAsia="zh-CN"/>
              </w:rPr>
              <w:t>法学</w:t>
            </w:r>
            <w:r>
              <w:rPr>
                <w:rFonts w:hint="eastAsia" w:ascii="新宋体" w:hAnsi="新宋体" w:eastAsia="新宋体" w:cs="宋体"/>
                <w:color w:val="000000"/>
                <w:kern w:val="0"/>
                <w:sz w:val="22"/>
                <w:lang w:eastAsia="zh-CN"/>
              </w:rPr>
              <w:t>、</w:t>
            </w:r>
            <w:r>
              <w:rPr>
                <w:rFonts w:hint="eastAsia" w:ascii="新宋体" w:hAnsi="新宋体" w:eastAsia="新宋体" w:cs="宋体"/>
                <w:color w:val="000000"/>
                <w:kern w:val="0"/>
                <w:sz w:val="22"/>
                <w:lang w:val="en-US" w:eastAsia="zh-CN"/>
              </w:rPr>
              <w:t>英语等</w:t>
            </w:r>
          </w:p>
        </w:tc>
      </w:tr>
    </w:tbl>
    <w:p>
      <w:pPr>
        <w:rPr>
          <w:rFonts w:hint="eastAsia" w:eastAsia="宋体"/>
          <w:color w:val="FF0000"/>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新宋体">
    <w:panose1 w:val="02010609030101010101"/>
    <w:charset w:val="86"/>
    <w:family w:val="modern"/>
    <w:pitch w:val="default"/>
    <w:sig w:usb0="00000003" w:usb1="288F0000" w:usb2="0000000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FE1"/>
    <w:rsid w:val="0008622D"/>
    <w:rsid w:val="000C7F91"/>
    <w:rsid w:val="00175E21"/>
    <w:rsid w:val="00197706"/>
    <w:rsid w:val="001E3323"/>
    <w:rsid w:val="00215F60"/>
    <w:rsid w:val="00250715"/>
    <w:rsid w:val="002D006F"/>
    <w:rsid w:val="00303E0E"/>
    <w:rsid w:val="00304895"/>
    <w:rsid w:val="00333722"/>
    <w:rsid w:val="003C309D"/>
    <w:rsid w:val="0043144C"/>
    <w:rsid w:val="00453039"/>
    <w:rsid w:val="005F3E8B"/>
    <w:rsid w:val="00636B19"/>
    <w:rsid w:val="006566CB"/>
    <w:rsid w:val="006A2597"/>
    <w:rsid w:val="006B15A9"/>
    <w:rsid w:val="00705C72"/>
    <w:rsid w:val="007544C0"/>
    <w:rsid w:val="00772034"/>
    <w:rsid w:val="00791034"/>
    <w:rsid w:val="009A1706"/>
    <w:rsid w:val="00A95C5B"/>
    <w:rsid w:val="00C03881"/>
    <w:rsid w:val="00CA7015"/>
    <w:rsid w:val="00D643D5"/>
    <w:rsid w:val="00D94738"/>
    <w:rsid w:val="00E15FE1"/>
    <w:rsid w:val="00FE08FF"/>
    <w:rsid w:val="04154C3F"/>
    <w:rsid w:val="091F4ABB"/>
    <w:rsid w:val="0D5576AB"/>
    <w:rsid w:val="195A6DE6"/>
    <w:rsid w:val="199624E5"/>
    <w:rsid w:val="4D974C94"/>
    <w:rsid w:val="52C9388B"/>
    <w:rsid w:val="56D1444E"/>
    <w:rsid w:val="58F06915"/>
    <w:rsid w:val="67800DE1"/>
    <w:rsid w:val="7B3F7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paragraph" w:customStyle="1" w:styleId="7">
    <w:name w:val="s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
    <w:name w:val="s6"/>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5"/>
    <w:link w:val="3"/>
    <w:qFormat/>
    <w:uiPriority w:val="99"/>
    <w:rPr>
      <w:sz w:val="18"/>
      <w:szCs w:val="18"/>
    </w:rPr>
  </w:style>
  <w:style w:type="character" w:customStyle="1" w:styleId="10">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154</Words>
  <Characters>878</Characters>
  <Lines>7</Lines>
  <Paragraphs>2</Paragraphs>
  <TotalTime>2</TotalTime>
  <ScaleCrop>false</ScaleCrop>
  <LinksUpToDate>false</LinksUpToDate>
  <CharactersWithSpaces>1030</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2019-03-05T08:28:00Z</dcterms:created>
  <dc:creator>Lenovo</dc:creator>
  <cp:lastModifiedBy>黄杨</cp:lastModifiedBy>
  <dcterms:modified xsi:type="dcterms:W3CDTF">2019-03-22T07:24:17Z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